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FFFD" w14:textId="62157C3A" w:rsidR="00476567" w:rsidRDefault="00A2604F" w:rsidP="00C27062">
      <w:pPr>
        <w:pStyle w:val="Tytu"/>
        <w:jc w:val="center"/>
        <w:rPr>
          <w:sz w:val="40"/>
          <w:szCs w:val="40"/>
        </w:rPr>
      </w:pPr>
      <w:r w:rsidRPr="00C27062">
        <w:rPr>
          <w:sz w:val="40"/>
          <w:szCs w:val="40"/>
        </w:rPr>
        <w:t>Program funkcjonalno-użytkowy</w:t>
      </w:r>
      <w:r w:rsidR="00476567" w:rsidRPr="00C27062">
        <w:rPr>
          <w:sz w:val="40"/>
          <w:szCs w:val="40"/>
        </w:rPr>
        <w:t xml:space="preserve"> </w:t>
      </w:r>
      <w:r w:rsidRPr="00C27062">
        <w:rPr>
          <w:sz w:val="40"/>
          <w:szCs w:val="40"/>
        </w:rPr>
        <w:t>dla zadania:</w:t>
      </w:r>
    </w:p>
    <w:p w14:paraId="6D4B9EB3" w14:textId="274A27E5" w:rsidR="00C27062" w:rsidRDefault="00C27062" w:rsidP="00C27062"/>
    <w:p w14:paraId="62E9508F" w14:textId="2BC46C05" w:rsidR="007A2E75" w:rsidRDefault="007A2E75" w:rsidP="00C27062"/>
    <w:p w14:paraId="2970CF23" w14:textId="67C74AF4" w:rsidR="007A2E75" w:rsidRDefault="007A2E75" w:rsidP="00C27062"/>
    <w:p w14:paraId="6393594A" w14:textId="26D5663E" w:rsidR="007A2E75" w:rsidRDefault="007A2E75" w:rsidP="00C27062"/>
    <w:p w14:paraId="63C023C0" w14:textId="5D2864AD" w:rsidR="007A2E75" w:rsidRDefault="007A2E75" w:rsidP="00C27062"/>
    <w:p w14:paraId="71AB1836" w14:textId="4BCCC7E0" w:rsidR="007A2E75" w:rsidRDefault="007A2E75" w:rsidP="00C27062"/>
    <w:p w14:paraId="0A1CCABF" w14:textId="0D9ACA38" w:rsidR="007A2E75" w:rsidRDefault="007A2E75" w:rsidP="00C27062"/>
    <w:p w14:paraId="064C8F1A" w14:textId="77777777" w:rsidR="007A2E75" w:rsidRPr="00C27062" w:rsidRDefault="007A2E75" w:rsidP="00C27062"/>
    <w:p w14:paraId="2BFB2F11" w14:textId="77777777" w:rsidR="006D74B2" w:rsidRPr="006D74B2" w:rsidRDefault="006D74B2" w:rsidP="00C27062">
      <w:pPr>
        <w:pStyle w:val="Podtytu"/>
        <w:jc w:val="center"/>
        <w:rPr>
          <w:rFonts w:eastAsia="Times New Roman"/>
          <w:b/>
          <w:bCs/>
          <w:sz w:val="52"/>
          <w:szCs w:val="52"/>
        </w:rPr>
      </w:pPr>
      <w:r w:rsidRPr="006D74B2">
        <w:rPr>
          <w:rFonts w:eastAsia="Times New Roman"/>
          <w:b/>
          <w:bCs/>
          <w:sz w:val="52"/>
          <w:szCs w:val="52"/>
        </w:rPr>
        <w:t xml:space="preserve">Instalacja paneli fotowoltaicznych w budynkach Centrum Rekreacyjno-Sportowego m.st. Warszawy w Dzielnicy Bielany </w:t>
      </w:r>
    </w:p>
    <w:p w14:paraId="3EFA3692" w14:textId="77777777" w:rsidR="006D74B2" w:rsidRDefault="006D74B2" w:rsidP="00C27062">
      <w:pPr>
        <w:pStyle w:val="Podtytu"/>
        <w:jc w:val="center"/>
        <w:rPr>
          <w:rFonts w:eastAsia="Times New Roman"/>
        </w:rPr>
      </w:pPr>
    </w:p>
    <w:p w14:paraId="4BFA3EAF" w14:textId="5E495978" w:rsidR="00A2604F" w:rsidRPr="006D74B2" w:rsidRDefault="009F5783" w:rsidP="00C27062">
      <w:pPr>
        <w:pStyle w:val="Podtytu"/>
        <w:jc w:val="center"/>
        <w:rPr>
          <w:rStyle w:val="TytuZnak"/>
          <w:b/>
          <w:bCs/>
          <w:sz w:val="36"/>
          <w:szCs w:val="36"/>
        </w:rPr>
      </w:pPr>
      <w:r w:rsidRPr="006D74B2">
        <w:rPr>
          <w:rStyle w:val="TytuZnak"/>
          <w:b/>
          <w:bCs/>
          <w:sz w:val="36"/>
          <w:szCs w:val="36"/>
        </w:rPr>
        <w:t>w formule zaprojektuj i wybuduj</w:t>
      </w:r>
    </w:p>
    <w:p w14:paraId="6B9B90AF" w14:textId="4A0A8D26" w:rsidR="00D0637A" w:rsidRDefault="00D0637A" w:rsidP="00D0637A"/>
    <w:p w14:paraId="11D5C326" w14:textId="50AC4233" w:rsidR="00D0637A" w:rsidRDefault="00D0637A" w:rsidP="00D0637A"/>
    <w:p w14:paraId="7B747D9C" w14:textId="3F03B6C5" w:rsidR="00D0637A" w:rsidRDefault="00D0637A" w:rsidP="00D0637A"/>
    <w:p w14:paraId="4C110D9A" w14:textId="4543AF8D" w:rsidR="00D0637A" w:rsidRDefault="00D0637A" w:rsidP="00D0637A"/>
    <w:p w14:paraId="50B28F8F" w14:textId="6D3A4AE5" w:rsidR="00D0637A" w:rsidRDefault="00D0637A" w:rsidP="00D0637A"/>
    <w:p w14:paraId="70582D3F" w14:textId="01CCC60C" w:rsidR="00D0637A" w:rsidRDefault="00D0637A" w:rsidP="00D0637A"/>
    <w:p w14:paraId="33F4AA4C" w14:textId="7B68273A" w:rsidR="00D0637A" w:rsidRPr="00D0637A" w:rsidRDefault="00D0637A" w:rsidP="00D0637A">
      <w:pPr>
        <w:pStyle w:val="Podtytu"/>
        <w:jc w:val="center"/>
        <w:rPr>
          <w:rStyle w:val="TytuZnak"/>
          <w:rFonts w:asciiTheme="minorHAnsi" w:hAnsiTheme="minorHAnsi" w:cstheme="minorHAnsi"/>
          <w:b/>
          <w:bCs/>
          <w:sz w:val="36"/>
          <w:szCs w:val="36"/>
        </w:rPr>
      </w:pPr>
      <w:r w:rsidRPr="00D0637A">
        <w:rPr>
          <w:rFonts w:cstheme="minorHAnsi"/>
          <w:sz w:val="36"/>
          <w:szCs w:val="36"/>
        </w:rPr>
        <w:t xml:space="preserve">Zamawiający: </w:t>
      </w:r>
      <w:r w:rsidRPr="00D0637A">
        <w:rPr>
          <w:rStyle w:val="TytuZnak"/>
          <w:rFonts w:asciiTheme="minorHAnsi" w:hAnsiTheme="minorHAnsi" w:cstheme="minorHAnsi"/>
          <w:b/>
          <w:bCs/>
          <w:sz w:val="36"/>
          <w:szCs w:val="36"/>
        </w:rPr>
        <w:t xml:space="preserve">Centrum Rekreacyjno-Sportowe Miasta Stołecznego Warszawy w Dzielnicy Bielany </w:t>
      </w:r>
    </w:p>
    <w:p w14:paraId="27D66D16" w14:textId="4C35F87B" w:rsidR="00D0637A" w:rsidRPr="00D0637A" w:rsidRDefault="00D0637A" w:rsidP="00D0637A"/>
    <w:p w14:paraId="57570E65" w14:textId="538E377E" w:rsidR="0022236C" w:rsidRDefault="0022236C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F3C7A0" w14:textId="6336C527" w:rsidR="00176E7D" w:rsidRDefault="00176E7D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364E9F" w14:textId="22793798" w:rsidR="00C27062" w:rsidRDefault="009840E3" w:rsidP="000861DF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Warszawa, </w:t>
      </w:r>
      <w:r w:rsidR="001E13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wrzesień</w:t>
      </w:r>
      <w:r w:rsidR="000861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2022</w:t>
      </w:r>
    </w:p>
    <w:p w14:paraId="24314B20" w14:textId="065016DA" w:rsidR="00C27062" w:rsidRDefault="00C27062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89612B" w14:textId="36617C66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EE1D5C" w14:textId="4DE93720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F4A543" w14:textId="7274BE9F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8488B7" w14:textId="71F699F9" w:rsidR="00176E7D" w:rsidRPr="005E737F" w:rsidRDefault="005E737F" w:rsidP="00176E7D">
      <w:pPr>
        <w:pStyle w:val="Akapitzlist"/>
        <w:ind w:left="360"/>
        <w:rPr>
          <w:rFonts w:eastAsia="Times New Roman" w:cstheme="minorHAnsi"/>
          <w:color w:val="000000"/>
          <w:lang w:eastAsia="pl-PL"/>
        </w:rPr>
      </w:pPr>
      <w:r w:rsidRPr="005E737F">
        <w:rPr>
          <w:rFonts w:eastAsia="Times New Roman" w:cstheme="minorHAnsi"/>
          <w:color w:val="000000"/>
          <w:lang w:eastAsia="pl-PL"/>
        </w:rPr>
        <w:t>Spis treści:</w:t>
      </w:r>
    </w:p>
    <w:p w14:paraId="1C7DEBE2" w14:textId="25CEEB7C" w:rsidR="005E737F" w:rsidRPr="005E737F" w:rsidRDefault="005E737F" w:rsidP="00176E7D">
      <w:pPr>
        <w:pStyle w:val="Akapitzlist"/>
        <w:ind w:left="360"/>
        <w:rPr>
          <w:rFonts w:eastAsia="Times New Roman" w:cstheme="minorHAnsi"/>
          <w:color w:val="000000"/>
          <w:lang w:eastAsia="pl-PL"/>
        </w:rPr>
      </w:pPr>
    </w:p>
    <w:p w14:paraId="259FAC01" w14:textId="786BE244" w:rsidR="005E737F" w:rsidRDefault="005E737F" w:rsidP="005E737F">
      <w:pPr>
        <w:pStyle w:val="Nagwek1"/>
        <w:numPr>
          <w:ilvl w:val="0"/>
          <w:numId w:val="21"/>
        </w:numPr>
        <w:rPr>
          <w:rFonts w:asciiTheme="minorHAnsi" w:hAnsiTheme="minorHAnsi" w:cstheme="minorHAnsi"/>
        </w:rPr>
      </w:pPr>
      <w:r w:rsidRPr="000423E5">
        <w:rPr>
          <w:rFonts w:asciiTheme="minorHAnsi" w:hAnsiTheme="minorHAnsi" w:cstheme="minorHAnsi"/>
        </w:rPr>
        <w:t>Przedmiot programu funkcjonalno-użytkowego </w:t>
      </w:r>
      <w:r>
        <w:rPr>
          <w:rFonts w:asciiTheme="minorHAnsi" w:hAnsiTheme="minorHAnsi" w:cstheme="minorHAnsi"/>
        </w:rPr>
        <w:t>…………………………………3</w:t>
      </w:r>
    </w:p>
    <w:p w14:paraId="5DD45372" w14:textId="6D712D16" w:rsidR="005E737F" w:rsidRDefault="005E737F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Wykaz kodów CVP………………………………………………………</w:t>
      </w:r>
      <w:r w:rsidR="00D547C3">
        <w:rPr>
          <w:lang w:eastAsia="pl-PL"/>
        </w:rPr>
        <w:t>…………………………..</w:t>
      </w:r>
      <w:r>
        <w:rPr>
          <w:lang w:eastAsia="pl-PL"/>
        </w:rPr>
        <w:t>……….3</w:t>
      </w:r>
    </w:p>
    <w:p w14:paraId="6EB2EA95" w14:textId="5DCBA88C" w:rsidR="005E737F" w:rsidRDefault="005E737F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Ogólny opis przedmiotu zamówienia…………………………</w:t>
      </w:r>
      <w:r w:rsidR="00D547C3">
        <w:rPr>
          <w:lang w:eastAsia="pl-PL"/>
        </w:rPr>
        <w:t>…………………………..</w:t>
      </w:r>
      <w:r>
        <w:rPr>
          <w:lang w:eastAsia="pl-PL"/>
        </w:rPr>
        <w:t>………..3</w:t>
      </w:r>
    </w:p>
    <w:p w14:paraId="55BC8419" w14:textId="4826A1CC" w:rsidR="00F64C25" w:rsidRDefault="00F64C25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Zakres zamówienia…………………………………………………………</w:t>
      </w:r>
      <w:r w:rsidR="00D547C3">
        <w:rPr>
          <w:lang w:eastAsia="pl-PL"/>
        </w:rPr>
        <w:t>……………………………</w:t>
      </w:r>
      <w:r>
        <w:rPr>
          <w:lang w:eastAsia="pl-PL"/>
        </w:rPr>
        <w:t>…..4</w:t>
      </w:r>
    </w:p>
    <w:p w14:paraId="4B0F7A6D" w14:textId="722E0F65" w:rsidR="00F64C25" w:rsidRPr="00F64C25" w:rsidRDefault="00F64C25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rFonts w:cstheme="minorHAnsi"/>
        </w:rPr>
        <w:t xml:space="preserve">Parametry </w:t>
      </w:r>
      <w:r w:rsidRPr="000423E5">
        <w:rPr>
          <w:rFonts w:cstheme="minorHAnsi"/>
        </w:rPr>
        <w:t>kluczowych elementów zamawianej instalacji</w:t>
      </w:r>
      <w:r>
        <w:rPr>
          <w:rFonts w:cstheme="minorHAnsi"/>
        </w:rPr>
        <w:t>…</w:t>
      </w:r>
      <w:r w:rsidR="00D547C3">
        <w:rPr>
          <w:rFonts w:cstheme="minorHAnsi"/>
        </w:rPr>
        <w:t>…………………………..</w:t>
      </w:r>
      <w:r>
        <w:rPr>
          <w:rFonts w:cstheme="minorHAnsi"/>
        </w:rPr>
        <w:t>…6</w:t>
      </w:r>
    </w:p>
    <w:p w14:paraId="7B016824" w14:textId="3255B9CB" w:rsidR="00F64C25" w:rsidRDefault="00F64C25" w:rsidP="00D547C3">
      <w:pPr>
        <w:pStyle w:val="Nagwek1"/>
        <w:numPr>
          <w:ilvl w:val="0"/>
          <w:numId w:val="21"/>
        </w:numPr>
        <w:ind w:left="714" w:hanging="357"/>
        <w:rPr>
          <w:rFonts w:asciiTheme="minorHAnsi" w:hAnsiTheme="minorHAnsi" w:cstheme="minorHAnsi"/>
        </w:rPr>
      </w:pPr>
      <w:r w:rsidRPr="000423E5">
        <w:rPr>
          <w:rFonts w:asciiTheme="minorHAnsi" w:hAnsiTheme="minorHAnsi" w:cstheme="minorHAnsi"/>
        </w:rPr>
        <w:t>Część informacyjna programu funkcjonalno-użytkowego</w:t>
      </w:r>
      <w:r>
        <w:rPr>
          <w:rFonts w:asciiTheme="minorHAnsi" w:hAnsiTheme="minorHAnsi" w:cstheme="minorHAnsi"/>
        </w:rPr>
        <w:t>………………….10</w:t>
      </w:r>
    </w:p>
    <w:p w14:paraId="1DC57412" w14:textId="34A5B655" w:rsidR="00F64C25" w:rsidRDefault="00F64C25" w:rsidP="00F64C25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Lokalizacja inwestycji……………………………………</w:t>
      </w:r>
      <w:r w:rsidR="007919FF">
        <w:rPr>
          <w:lang w:eastAsia="pl-PL"/>
        </w:rPr>
        <w:t>……………………………………….</w:t>
      </w:r>
      <w:r>
        <w:rPr>
          <w:lang w:eastAsia="pl-PL"/>
        </w:rPr>
        <w:t>……….10</w:t>
      </w:r>
    </w:p>
    <w:p w14:paraId="39F57FA7" w14:textId="03603E7F" w:rsidR="00F64C25" w:rsidRPr="00F64C25" w:rsidRDefault="00F64C25" w:rsidP="00F64C25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rFonts w:cstheme="minorHAnsi"/>
        </w:rPr>
        <w:t xml:space="preserve">Prawo </w:t>
      </w:r>
      <w:r w:rsidRPr="000423E5">
        <w:rPr>
          <w:rFonts w:cstheme="minorHAnsi"/>
        </w:rPr>
        <w:t>dysponowania nieruchomością na cele budowlane</w:t>
      </w:r>
      <w:r w:rsidR="007919FF">
        <w:rPr>
          <w:rFonts w:cstheme="minorHAnsi"/>
        </w:rPr>
        <w:t>…………………………..</w:t>
      </w:r>
      <w:r>
        <w:rPr>
          <w:rFonts w:cstheme="minorHAnsi"/>
        </w:rPr>
        <w:t>…11</w:t>
      </w:r>
    </w:p>
    <w:p w14:paraId="236CB8B7" w14:textId="39C15552" w:rsidR="00F64C25" w:rsidRPr="006C7DEB" w:rsidRDefault="00F64C25" w:rsidP="00F64C25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rFonts w:cstheme="minorHAnsi"/>
        </w:rPr>
        <w:t>Ochrona środowiska ………………………</w:t>
      </w:r>
      <w:r w:rsidR="007919FF"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>…..11</w:t>
      </w:r>
    </w:p>
    <w:p w14:paraId="46EE8CDC" w14:textId="7353B7B9" w:rsidR="006C7DEB" w:rsidRPr="007919FF" w:rsidRDefault="006C7DEB" w:rsidP="00D547C3">
      <w:pPr>
        <w:pStyle w:val="Nagwek1"/>
        <w:ind w:left="697" w:hanging="357"/>
        <w:rPr>
          <w:rFonts w:asciiTheme="minorHAnsi" w:hAnsiTheme="minorHAnsi" w:cstheme="minorHAnsi"/>
        </w:rPr>
      </w:pPr>
      <w:r w:rsidRPr="007919FF">
        <w:rPr>
          <w:rFonts w:asciiTheme="minorHAnsi" w:hAnsiTheme="minorHAnsi" w:cstheme="minorHAnsi"/>
        </w:rPr>
        <w:t>Realizacja robót……………………………</w:t>
      </w:r>
      <w:r w:rsidR="007919FF" w:rsidRPr="007919FF">
        <w:rPr>
          <w:rFonts w:asciiTheme="minorHAnsi" w:hAnsiTheme="minorHAnsi" w:cstheme="minorHAnsi"/>
        </w:rPr>
        <w:t>………………………</w:t>
      </w:r>
      <w:r w:rsidR="007919FF">
        <w:rPr>
          <w:rFonts w:asciiTheme="minorHAnsi" w:hAnsiTheme="minorHAnsi" w:cstheme="minorHAnsi"/>
        </w:rPr>
        <w:t>……………………..</w:t>
      </w:r>
      <w:r w:rsidRPr="007919FF">
        <w:rPr>
          <w:rFonts w:asciiTheme="minorHAnsi" w:hAnsiTheme="minorHAnsi" w:cstheme="minorHAnsi"/>
        </w:rPr>
        <w:t>…….1</w:t>
      </w:r>
      <w:r w:rsidR="00A40748">
        <w:rPr>
          <w:rFonts w:asciiTheme="minorHAnsi" w:hAnsiTheme="minorHAnsi" w:cstheme="minorHAnsi"/>
        </w:rPr>
        <w:t>2</w:t>
      </w:r>
    </w:p>
    <w:p w14:paraId="11203185" w14:textId="25204A5C" w:rsidR="006C7DEB" w:rsidRPr="007919FF" w:rsidRDefault="006C7DEB" w:rsidP="00D547C3">
      <w:pPr>
        <w:pStyle w:val="Nagwek1"/>
        <w:ind w:left="697" w:hanging="357"/>
        <w:rPr>
          <w:rFonts w:asciiTheme="minorHAnsi" w:hAnsiTheme="minorHAnsi" w:cstheme="minorHAnsi"/>
        </w:rPr>
      </w:pPr>
      <w:r w:rsidRPr="007919FF">
        <w:rPr>
          <w:rFonts w:asciiTheme="minorHAnsi" w:hAnsiTheme="minorHAnsi" w:cstheme="minorHAnsi"/>
        </w:rPr>
        <w:t>Część informacyjna programu funkcjonalno-użytkowego</w:t>
      </w:r>
      <w:r w:rsidR="007919FF">
        <w:rPr>
          <w:rFonts w:asciiTheme="minorHAnsi" w:hAnsiTheme="minorHAnsi" w:cstheme="minorHAnsi"/>
        </w:rPr>
        <w:t>………………..</w:t>
      </w:r>
      <w:r w:rsidRPr="007919FF">
        <w:rPr>
          <w:rFonts w:asciiTheme="minorHAnsi" w:hAnsiTheme="minorHAnsi" w:cstheme="minorHAnsi"/>
        </w:rPr>
        <w:t>…14</w:t>
      </w:r>
    </w:p>
    <w:p w14:paraId="4C2CD4A4" w14:textId="1FD378D7" w:rsidR="00F64C25" w:rsidRDefault="00F64C25" w:rsidP="00D547C3">
      <w:pPr>
        <w:pStyle w:val="Nagwek1"/>
        <w:numPr>
          <w:ilvl w:val="0"/>
          <w:numId w:val="0"/>
        </w:numPr>
        <w:ind w:left="360"/>
      </w:pPr>
    </w:p>
    <w:p w14:paraId="2EDD73B7" w14:textId="77777777" w:rsidR="005E737F" w:rsidRPr="005E737F" w:rsidRDefault="005E737F" w:rsidP="005E737F">
      <w:pPr>
        <w:rPr>
          <w:lang w:eastAsia="pl-PL"/>
        </w:rPr>
      </w:pPr>
    </w:p>
    <w:p w14:paraId="1ECB559B" w14:textId="799FF046" w:rsidR="00176E7D" w:rsidRPr="005E737F" w:rsidRDefault="00176E7D" w:rsidP="00176E7D">
      <w:pPr>
        <w:pStyle w:val="Akapitzlist"/>
        <w:ind w:left="360"/>
        <w:rPr>
          <w:rFonts w:eastAsia="Times New Roman" w:cstheme="minorHAnsi"/>
          <w:color w:val="000000"/>
          <w:lang w:eastAsia="pl-PL"/>
        </w:rPr>
      </w:pPr>
    </w:p>
    <w:p w14:paraId="07D1ACE3" w14:textId="11E232E5" w:rsidR="00176E7D" w:rsidRDefault="00176E7D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FFC0C4" w14:textId="309BF02A" w:rsidR="001A0C4A" w:rsidRDefault="00C27062" w:rsidP="009F5783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14:paraId="11B2BDC4" w14:textId="2606A1DD" w:rsidR="001A0C4A" w:rsidRPr="000423E5" w:rsidRDefault="001A0C4A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4671406" w14:textId="7FACE62B" w:rsidR="00A2604F" w:rsidRPr="006C7DEB" w:rsidRDefault="00A2604F" w:rsidP="006C7DEB">
      <w:pPr>
        <w:pStyle w:val="Nagwek1"/>
        <w:numPr>
          <w:ilvl w:val="0"/>
          <w:numId w:val="22"/>
        </w:numPr>
        <w:rPr>
          <w:rFonts w:asciiTheme="minorHAnsi" w:hAnsiTheme="minorHAnsi" w:cstheme="minorHAnsi"/>
        </w:rPr>
      </w:pPr>
      <w:bookmarkStart w:id="0" w:name="_Toc106619735"/>
      <w:r w:rsidRPr="006C7DEB">
        <w:rPr>
          <w:rFonts w:asciiTheme="minorHAnsi" w:hAnsiTheme="minorHAnsi" w:cstheme="minorHAnsi"/>
        </w:rPr>
        <w:t>Przedmiot programu funkcjonalno-użytkowego</w:t>
      </w:r>
      <w:bookmarkEnd w:id="0"/>
      <w:r w:rsidRPr="006C7DEB">
        <w:rPr>
          <w:rFonts w:asciiTheme="minorHAnsi" w:hAnsiTheme="minorHAnsi" w:cstheme="minorHAnsi"/>
        </w:rPr>
        <w:t> </w:t>
      </w:r>
    </w:p>
    <w:p w14:paraId="42BF8229" w14:textId="5560A324" w:rsidR="009F5783" w:rsidRPr="000423E5" w:rsidRDefault="009F5783" w:rsidP="00120915">
      <w:pPr>
        <w:pStyle w:val="Podtytu"/>
        <w:jc w:val="both"/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Niniejszy Program Funkcjonalno - Użytkowy w sposób ogólny opisuje wymagania i oczekiwania Zamawiającego stawiane inwestycji pn.: </w:t>
      </w:r>
      <w:r w:rsidR="00F83A3D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„</w:t>
      </w:r>
      <w:r w:rsidR="00F83A3D" w:rsidRPr="00F83A3D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Instalacja paneli fotowoltaicznych w budynkach Centrum Rekreacyjno-Sportowego m.st. Warszawy w Dzielnicy Bielany</w:t>
      </w:r>
      <w:r w:rsidR="00F83A3D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”</w:t>
      </w:r>
      <w:r w:rsidR="00F83A3D" w:rsidRPr="006D74B2">
        <w:rPr>
          <w:rFonts w:eastAsia="Times New Roman"/>
          <w:b/>
          <w:bCs/>
          <w:sz w:val="52"/>
          <w:szCs w:val="52"/>
        </w:rPr>
        <w:t xml:space="preserve"> </w:t>
      </w:r>
      <w:r w:rsidRPr="000423E5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w formule zaprojektuj i wybuduj.</w:t>
      </w:r>
    </w:p>
    <w:p w14:paraId="767808CA" w14:textId="77777777" w:rsidR="003A7447" w:rsidRPr="000423E5" w:rsidRDefault="009F5783" w:rsidP="00120915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Przedmiotem prac jest zaprojektowanie, roboty instalacyjne, uruchomienie i przeprowadzenie procedury włączenia do sieci </w:t>
      </w:r>
      <w:r w:rsidR="003A7447" w:rsidRPr="000423E5">
        <w:rPr>
          <w:rFonts w:eastAsia="Times New Roman" w:cstheme="minorHAnsi"/>
          <w:color w:val="000000"/>
          <w:sz w:val="24"/>
          <w:szCs w:val="24"/>
          <w:lang w:eastAsia="pl-PL"/>
        </w:rPr>
        <w:t>energetycznej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instalacji PV o mo</w:t>
      </w:r>
      <w:r w:rsidR="003A7447" w:rsidRPr="000423E5">
        <w:rPr>
          <w:rFonts w:eastAsia="Times New Roman" w:cstheme="minorHAnsi"/>
          <w:color w:val="000000"/>
          <w:sz w:val="24"/>
          <w:szCs w:val="24"/>
          <w:lang w:eastAsia="pl-PL"/>
        </w:rPr>
        <w:t>cy:</w:t>
      </w:r>
    </w:p>
    <w:p w14:paraId="0B603336" w14:textId="19E7A27B" w:rsidR="003A7447" w:rsidRPr="000423E5" w:rsidRDefault="003A7447" w:rsidP="00120915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120 kWp – przy ul. Lindego 20 w Warszawie,</w:t>
      </w:r>
    </w:p>
    <w:p w14:paraId="0BAF74B6" w14:textId="5F26FBEF" w:rsidR="003A7447" w:rsidRPr="000423E5" w:rsidRDefault="003A7447" w:rsidP="00120915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70</w:t>
      </w:r>
      <w:r w:rsidR="0007785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kWp – przy ul. Conrada 6 w Warszawie.</w:t>
      </w:r>
    </w:p>
    <w:p w14:paraId="271F57C0" w14:textId="26F227DC" w:rsidR="003A7447" w:rsidRPr="000423E5" w:rsidRDefault="0048631C" w:rsidP="00120915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Dopuszcza się tolerancję w ilości zainstalowanej mocy paneli +/- 2%.</w:t>
      </w:r>
    </w:p>
    <w:p w14:paraId="438CCD82" w14:textId="651D10EE" w:rsidR="00A2604F" w:rsidRPr="000423E5" w:rsidRDefault="00A2604F" w:rsidP="00120915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Program funkcjonalno-użytkowy stanowi podstawę wymagań względem jednostki realizującej niniejsze zadanie w zakresie obejmującym kompleksową realizację zamówienia. Oferta powinna być zgodna z niniejszą specyfikacją.</w:t>
      </w:r>
    </w:p>
    <w:p w14:paraId="304CCB21" w14:textId="60577304" w:rsidR="00A2604F" w:rsidRPr="000423E5" w:rsidRDefault="00A2604F" w:rsidP="00120915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Program funkcjonalno-użytkowy jest stosowany jako dokument przetargowy i stanowi Załącznik do Specyfikacji Warunków Zamówienia.</w:t>
      </w:r>
    </w:p>
    <w:p w14:paraId="0D1970E8" w14:textId="15E44695" w:rsidR="00A2604F" w:rsidRPr="000423E5" w:rsidRDefault="00A2604F" w:rsidP="00120915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Oferta dostarczona przez Oferentów winna obejmować komplet dostaw i usług koniecznych do przeprowadzenia przedsięwzięcia aż do przekazania Zamawiającemu. Oferta powinna być zgodna z niniejszą specyfikacją. Oferent ujmie w swoim zakresie również te dodatkowe roboty i elementy instalacji oraz konstrukcji, które nie zostały wyszczególnione w programie funkcjonalno-użytkowym, lecz są ważne i niezbędne dla poprawnego funkcjonowania, stabilnego działania, jak również dla spełnienia gwarancji sprawnego i bezawaryjnego działania.</w:t>
      </w:r>
    </w:p>
    <w:p w14:paraId="71748BB5" w14:textId="44601EDB" w:rsidR="00BC6DE6" w:rsidRPr="000423E5" w:rsidRDefault="00BC6DE6" w:rsidP="00120915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Spodziewane prace budowlano-montażowe nie będą miały wpływu na środ</w:t>
      </w:r>
      <w:r w:rsidR="007C240B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owisko </w:t>
      </w:r>
      <w:r w:rsidR="0007785D" w:rsidRPr="000423E5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7C240B" w:rsidRPr="000423E5">
        <w:rPr>
          <w:rFonts w:eastAsia="Times New Roman" w:cstheme="minorHAnsi"/>
          <w:color w:val="000000"/>
          <w:sz w:val="24"/>
          <w:szCs w:val="24"/>
          <w:lang w:eastAsia="pl-PL"/>
        </w:rPr>
        <w:t>aturalne.</w:t>
      </w:r>
      <w:r w:rsidR="0007785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C240B" w:rsidRPr="000423E5">
        <w:rPr>
          <w:rFonts w:eastAsia="Times New Roman" w:cstheme="minorHAnsi"/>
          <w:color w:val="000000"/>
          <w:sz w:val="24"/>
          <w:szCs w:val="24"/>
          <w:lang w:eastAsia="pl-PL"/>
        </w:rPr>
        <w:t>Ingerencja wewnątrz budynków zostanie zminimalizowana wyłącznie do prac niezbędnych dla projektowanej inwestycji.</w:t>
      </w:r>
    </w:p>
    <w:p w14:paraId="2761F329" w14:textId="06ED468F" w:rsidR="00A2604F" w:rsidRPr="000423E5" w:rsidRDefault="00A2604F" w:rsidP="00120915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1" w:name="_Toc106619736"/>
      <w:r w:rsidRPr="000423E5">
        <w:rPr>
          <w:rFonts w:asciiTheme="minorHAnsi" w:hAnsiTheme="minorHAnsi" w:cstheme="minorHAnsi"/>
        </w:rPr>
        <w:t>Wykaz kodów CPV</w:t>
      </w:r>
      <w:bookmarkEnd w:id="1"/>
    </w:p>
    <w:p w14:paraId="73BA2B95" w14:textId="165F6787" w:rsidR="00A2604F" w:rsidRPr="000423E5" w:rsidRDefault="00A2604F" w:rsidP="001209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71220000-0 Usługi projektowania architektonicznego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71232310-0 Usługi projektowania systemów zasilania energią elektryczną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45000000-7 Roboty budowlane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45300000-0 Roboty w zakresie instalacji budowlanych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45310000-3 Roboty w zakresie instalacji elektrycznych</w:t>
      </w:r>
    </w:p>
    <w:p w14:paraId="4FADEF6E" w14:textId="59B36327" w:rsidR="00EA351D" w:rsidRPr="000423E5" w:rsidRDefault="00EA351D" w:rsidP="001209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45261215-4 Pokrywanie dachów panelami słonecznymi</w:t>
      </w:r>
    </w:p>
    <w:p w14:paraId="65136CA0" w14:textId="77777777" w:rsidR="00EA351D" w:rsidRPr="000423E5" w:rsidRDefault="00EA351D" w:rsidP="00120915">
      <w:pPr>
        <w:spacing w:before="20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7BABD70" w14:textId="77777777" w:rsidR="00594681" w:rsidRPr="000423E5" w:rsidRDefault="00A2604F" w:rsidP="00120915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2" w:name="_Toc106619737"/>
      <w:r w:rsidRPr="000423E5">
        <w:rPr>
          <w:rFonts w:asciiTheme="minorHAnsi" w:hAnsiTheme="minorHAnsi" w:cstheme="minorHAnsi"/>
        </w:rPr>
        <w:t>Ogólny opis przedmiotu zamówienia</w:t>
      </w:r>
      <w:r w:rsidR="00594681" w:rsidRPr="000423E5">
        <w:rPr>
          <w:rFonts w:asciiTheme="minorHAnsi" w:hAnsiTheme="minorHAnsi" w:cstheme="minorHAnsi"/>
        </w:rPr>
        <w:t>.</w:t>
      </w:r>
      <w:bookmarkEnd w:id="2"/>
      <w:r w:rsidR="00594681" w:rsidRPr="000423E5">
        <w:rPr>
          <w:rFonts w:asciiTheme="minorHAnsi" w:hAnsiTheme="minorHAnsi" w:cstheme="minorHAnsi"/>
        </w:rPr>
        <w:t xml:space="preserve"> </w:t>
      </w:r>
    </w:p>
    <w:p w14:paraId="4826DC1A" w14:textId="499A53EF" w:rsidR="00A2604F" w:rsidRPr="000423E5" w:rsidRDefault="00A2604F" w:rsidP="00120915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Przedmiot zamówienia składa się z III etapów: </w:t>
      </w:r>
    </w:p>
    <w:p w14:paraId="15D6BDB8" w14:textId="77777777" w:rsidR="00A2604F" w:rsidRPr="000423E5" w:rsidRDefault="00A2604F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Etap I: Wykonanie prac projektowych (Dokumentacja techniczna). </w:t>
      </w:r>
    </w:p>
    <w:p w14:paraId="580ADEBE" w14:textId="1829D8C9" w:rsidR="006572BC" w:rsidRPr="000423E5" w:rsidRDefault="00A2604F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Etap II: </w:t>
      </w:r>
      <w:r w:rsidR="00120915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zyskanie niezbędnych pozwoleń i uzgodnień w tym pozwolenia na budowę. </w:t>
      </w:r>
    </w:p>
    <w:p w14:paraId="6A390160" w14:textId="186E59A2" w:rsidR="00A2604F" w:rsidRDefault="00A2604F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Etap III: Roboty budowlano </w:t>
      </w:r>
      <w:r w:rsidR="0081279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montażowe</w:t>
      </w:r>
      <w:r w:rsidR="0081279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zakończone uruchomieniem instalacji</w:t>
      </w:r>
      <w:r w:rsidR="0012091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EE2FB55" w14:textId="77777777" w:rsidR="00F64C25" w:rsidRPr="000423E5" w:rsidRDefault="00F64C25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AFADE8" w14:textId="2A2F32AC" w:rsidR="00A2604F" w:rsidRPr="000423E5" w:rsidRDefault="00A2604F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Przedmiot zamówienia obejmuje kompleksowe zaprojektowanie i wybudowanie</w:t>
      </w:r>
      <w:r w:rsid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863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instalacji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fotowoltaiczn</w:t>
      </w:r>
      <w:r w:rsidR="000423E5">
        <w:rPr>
          <w:rFonts w:eastAsia="Times New Roman" w:cstheme="minorHAnsi"/>
          <w:color w:val="000000"/>
          <w:sz w:val="24"/>
          <w:szCs w:val="24"/>
          <w:lang w:eastAsia="pl-PL"/>
        </w:rPr>
        <w:t>ych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mocy </w:t>
      </w:r>
      <w:r w:rsidRPr="000423E5">
        <w:rPr>
          <w:rFonts w:eastAsia="Times New Roman" w:cstheme="minorHAnsi"/>
          <w:sz w:val="24"/>
          <w:szCs w:val="24"/>
          <w:lang w:eastAsia="pl-PL"/>
        </w:rPr>
        <w:t xml:space="preserve">120 kWp </w:t>
      </w:r>
      <w:r w:rsidR="0048631C">
        <w:rPr>
          <w:rFonts w:eastAsia="Times New Roman" w:cstheme="minorHAnsi"/>
          <w:sz w:val="24"/>
          <w:szCs w:val="24"/>
          <w:lang w:eastAsia="pl-PL"/>
        </w:rPr>
        <w:t xml:space="preserve">i 70 kWp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wraz z oprzyrządowaniem i niezbędnym okablowaniem, systemem zarządzania energią oraz przyłączeniem do sieci elektroenergetycznej.</w:t>
      </w:r>
    </w:p>
    <w:p w14:paraId="6C375E65" w14:textId="77777777" w:rsidR="006817F9" w:rsidRPr="000423E5" w:rsidRDefault="006817F9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69F73D" w14:textId="77777777" w:rsidR="000C01B7" w:rsidRPr="000423E5" w:rsidRDefault="00A2604F" w:rsidP="00120915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3" w:name="_Toc106619738"/>
      <w:r w:rsidRPr="000423E5">
        <w:rPr>
          <w:rFonts w:asciiTheme="minorHAnsi" w:hAnsiTheme="minorHAnsi" w:cstheme="minorHAnsi"/>
        </w:rPr>
        <w:t>Zakres zamówienia</w:t>
      </w:r>
      <w:r w:rsidR="000C01B7" w:rsidRPr="000423E5">
        <w:rPr>
          <w:rFonts w:asciiTheme="minorHAnsi" w:hAnsiTheme="minorHAnsi" w:cstheme="minorHAnsi"/>
        </w:rPr>
        <w:t>.</w:t>
      </w:r>
      <w:bookmarkEnd w:id="3"/>
    </w:p>
    <w:p w14:paraId="60BD98CF" w14:textId="77777777" w:rsidR="00E82DC2" w:rsidRDefault="00A2604F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2D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Etap I: Wykonanie prac projektowych (Dokumentacja techniczna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). </w:t>
      </w:r>
    </w:p>
    <w:p w14:paraId="27D2B85F" w14:textId="2E1E700E" w:rsidR="00A2604F" w:rsidRPr="000423E5" w:rsidRDefault="00A2604F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Zakres prac należy wykonać w oparciu o własny projekt wykonawczo-budowlany oraz projekt elektryczny przygotowany przez osoby do tego uprawnione (w uzgodnieniu z Zamawiającym). Ww. projekty należy wykonać zgodnie z: </w:t>
      </w:r>
    </w:p>
    <w:p w14:paraId="56BCCC45" w14:textId="3376FD35" w:rsidR="00A2604F" w:rsidRPr="000423E5" w:rsidRDefault="00A2604F" w:rsidP="0012091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Oceną aktualnego stanu obiektów na podstawie dokumentacji projektowej obiektów</w:t>
      </w:r>
      <w:r w:rsidR="00120915">
        <w:rPr>
          <w:rFonts w:cstheme="minorHAnsi"/>
          <w:sz w:val="24"/>
          <w:szCs w:val="24"/>
        </w:rPr>
        <w:t>,</w:t>
      </w:r>
      <w:r w:rsidRPr="000423E5">
        <w:rPr>
          <w:rFonts w:cstheme="minorHAnsi"/>
          <w:sz w:val="24"/>
          <w:szCs w:val="24"/>
        </w:rPr>
        <w:t xml:space="preserve"> na których ma zostać usytuowana instalacja fotowoltaiczna zweryfikowaną w trakcie wizji lokalnej na obiekcie</w:t>
      </w:r>
      <w:r w:rsidR="00574F0E">
        <w:rPr>
          <w:rFonts w:cstheme="minorHAnsi"/>
          <w:sz w:val="24"/>
          <w:szCs w:val="24"/>
        </w:rPr>
        <w:t xml:space="preserve"> oraz</w:t>
      </w:r>
      <w:r w:rsidR="00574F0E" w:rsidRPr="00574F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4F0E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574F0E">
        <w:t>cen</w:t>
      </w:r>
      <w:r w:rsidR="00B91223">
        <w:t>y</w:t>
      </w:r>
      <w:r w:rsidR="00574F0E">
        <w:t xml:space="preserve"> techniczn</w:t>
      </w:r>
      <w:r w:rsidR="00B91223">
        <w:t>ej</w:t>
      </w:r>
      <w:r w:rsidR="00574F0E">
        <w:t xml:space="preserve"> dot. możliwości umieszczenia paneli fotowoltaicznych na dach</w:t>
      </w:r>
      <w:r w:rsidR="00E82DC2">
        <w:t>ach</w:t>
      </w:r>
      <w:r w:rsidR="00574F0E">
        <w:t xml:space="preserve"> budynk</w:t>
      </w:r>
      <w:r w:rsidR="00E82DC2">
        <w:t>ów</w:t>
      </w:r>
      <w:r w:rsidR="00574F0E">
        <w:t xml:space="preserve"> przy ul. Lindego</w:t>
      </w:r>
      <w:r w:rsidR="00B91223">
        <w:t xml:space="preserve"> 20</w:t>
      </w:r>
      <w:r w:rsidR="00E82DC2">
        <w:t xml:space="preserve"> i ul. Conrada 6;</w:t>
      </w:r>
    </w:p>
    <w:p w14:paraId="23F55E4A" w14:textId="54F19993" w:rsidR="00A2604F" w:rsidRPr="000423E5" w:rsidRDefault="00A2604F" w:rsidP="0012091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 xml:space="preserve">Wymaganiami technicznymi i eksploatacyjnymi, jakie muszą spełniać  instalacje OZE. Zgodnie z art. 7 ust. 8d9 PE przyłączane </w:t>
      </w:r>
      <w:r w:rsidR="00120915">
        <w:rPr>
          <w:rFonts w:cstheme="minorHAnsi"/>
          <w:sz w:val="24"/>
          <w:szCs w:val="24"/>
        </w:rPr>
        <w:t>instalacje</w:t>
      </w:r>
      <w:r w:rsidRPr="000423E5">
        <w:rPr>
          <w:rFonts w:cstheme="minorHAnsi"/>
          <w:sz w:val="24"/>
          <w:szCs w:val="24"/>
        </w:rPr>
        <w:t xml:space="preserve"> muszą spełniać wymagania techniczne i eksploatacyjne określone w art. 7a ust. 1 PE, to jest w szczególności zapewniać: </w:t>
      </w:r>
    </w:p>
    <w:p w14:paraId="041D2DAB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bezpieczeństwo funkcjonowania systemu elektroenergetycznego oraz współpracujących z tą siecią urządzeń lub instalacji; </w:t>
      </w:r>
    </w:p>
    <w:p w14:paraId="6E6DAB2C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zabezpieczenie systemu elektroenergetycznego przed uszkodzeniami spowodowanymi niewłaściwą pracą przyłączonych urządzeń, instalacji i sieci; </w:t>
      </w:r>
    </w:p>
    <w:p w14:paraId="004C9DB7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zabezpieczenie przyłączonych urządzeń, instalacji i sieci przed uszkodzeniami w przypadku awarii lub wprowadzenia ograniczeń w poborze lub dostarczaniu energii; </w:t>
      </w:r>
    </w:p>
    <w:p w14:paraId="164B2A28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dotrzymanie w miejscu przyłączenia urządzeń, instalacji i sieci parametrów jakościowych energii; </w:t>
      </w:r>
    </w:p>
    <w:p w14:paraId="5C9D0E9B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spełnianie wymagań w zakresie ochrony środowiska; </w:t>
      </w:r>
    </w:p>
    <w:p w14:paraId="104642DC" w14:textId="61B0C54D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 xml:space="preserve">możliwość dokonywania pomiarów wielkości i parametrów niezbędnych do prowadzenia ruchu sieci oraz rozliczeń za energię. Ponadto instalacje muszą spełniać wymogi określone w przepisach prawa budowlanego, o ochronie przeciwporażeniowej oraz w wydanych warunkach przyłączenia, o ile istnieje konieczność ich wydania. </w:t>
      </w:r>
      <w:r w:rsidR="0048631C">
        <w:rPr>
          <w:rFonts w:cstheme="minorHAnsi"/>
          <w:sz w:val="24"/>
          <w:szCs w:val="24"/>
        </w:rPr>
        <w:t>I</w:t>
      </w:r>
      <w:r w:rsidRPr="000423E5">
        <w:rPr>
          <w:rFonts w:cstheme="minorHAnsi"/>
          <w:sz w:val="24"/>
          <w:szCs w:val="24"/>
        </w:rPr>
        <w:t>nstalacja powinna być wykonana zgodnie z obowiązującymi przepisami i zasadami wiedzy technicznej oraz spełniać wymagania techniczne i eksploatacyjne określone w art. 7a ust. 1 i 2 PE i w PN-EN 50438</w:t>
      </w:r>
      <w:r w:rsidR="00D64BF3">
        <w:rPr>
          <w:rFonts w:cstheme="minorHAnsi"/>
          <w:sz w:val="24"/>
          <w:szCs w:val="24"/>
        </w:rPr>
        <w:t>;</w:t>
      </w:r>
    </w:p>
    <w:p w14:paraId="28E27FAE" w14:textId="77777777" w:rsidR="00120915" w:rsidRPr="00120915" w:rsidRDefault="00120915" w:rsidP="00120915">
      <w:pPr>
        <w:pStyle w:val="Akapitzlist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2604F" w:rsidRPr="000423E5">
        <w:rPr>
          <w:rFonts w:cstheme="minorHAnsi"/>
          <w:sz w:val="24"/>
          <w:szCs w:val="24"/>
        </w:rPr>
        <w:t xml:space="preserve">ozmieszczenie paneli fotowoltaicznych musi uwzględniać uzyskanie jak najwyższej efektywności instalacji (możliwego poziomu produkcji energii przez instalację w ciągu roku przy uwzględnieniu wskazanych parametrów technicznych instalacji, lokalizacji obiektu, jego otoczenia, kąta i usytuowania dachu budynku). </w:t>
      </w:r>
    </w:p>
    <w:p w14:paraId="3796C55E" w14:textId="77777777" w:rsidR="00E82DC2" w:rsidRDefault="00E82DC2" w:rsidP="00120915">
      <w:pPr>
        <w:ind w:left="360"/>
        <w:jc w:val="both"/>
        <w:rPr>
          <w:rFonts w:cstheme="minorHAnsi"/>
          <w:sz w:val="24"/>
          <w:szCs w:val="24"/>
        </w:rPr>
      </w:pPr>
    </w:p>
    <w:p w14:paraId="727FA2D9" w14:textId="71A3E50B" w:rsidR="00A2604F" w:rsidRPr="00120915" w:rsidRDefault="00A2604F" w:rsidP="00120915">
      <w:pPr>
        <w:ind w:left="360"/>
        <w:jc w:val="both"/>
        <w:rPr>
          <w:rFonts w:cstheme="minorHAnsi"/>
          <w:b/>
          <w:bCs/>
          <w:sz w:val="24"/>
          <w:szCs w:val="24"/>
        </w:rPr>
      </w:pPr>
      <w:r w:rsidRPr="00120915">
        <w:rPr>
          <w:rFonts w:cstheme="minorHAnsi"/>
          <w:sz w:val="24"/>
          <w:szCs w:val="24"/>
        </w:rPr>
        <w:lastRenderedPageBreak/>
        <w:br/>
      </w:r>
      <w:r w:rsidRPr="00120915">
        <w:rPr>
          <w:rFonts w:cstheme="minorHAnsi"/>
          <w:b/>
          <w:bCs/>
          <w:sz w:val="24"/>
          <w:szCs w:val="24"/>
        </w:rPr>
        <w:t>Dokumentacja techniczna powinna zawierać: </w:t>
      </w:r>
    </w:p>
    <w:p w14:paraId="25975020" w14:textId="08EF0DB1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Część opisową</w:t>
      </w:r>
      <w:r w:rsidR="002B00E6">
        <w:rPr>
          <w:rFonts w:cstheme="minorHAnsi"/>
          <w:sz w:val="24"/>
          <w:szCs w:val="24"/>
        </w:rPr>
        <w:t>;</w:t>
      </w:r>
    </w:p>
    <w:p w14:paraId="38E9A7AE" w14:textId="0898B078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Niezbędne obliczenia techniczne, w szczególności obliczenia statyczno –wytrzymałościowe elementów konstrukcji stanowiącej element nośny do instalacji paneli fotowoltaicznych</w:t>
      </w:r>
      <w:r w:rsidR="00F6080D">
        <w:rPr>
          <w:rFonts w:cstheme="minorHAnsi"/>
          <w:sz w:val="24"/>
          <w:szCs w:val="24"/>
        </w:rPr>
        <w:t>;</w:t>
      </w:r>
    </w:p>
    <w:p w14:paraId="76D27FB2" w14:textId="75440736" w:rsidR="00A2604F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Schemat oraz plan instalacji elektrycznej obiektu przedstawiający sposób podłączenia instalacji z zaznaczonym miejscem rozgraniczenia własności stron,</w:t>
      </w:r>
      <w:r w:rsidR="00527D2C">
        <w:rPr>
          <w:rFonts w:cstheme="minorHAnsi"/>
          <w:sz w:val="24"/>
          <w:szCs w:val="24"/>
        </w:rPr>
        <w:t xml:space="preserve"> obliczenia</w:t>
      </w:r>
      <w:r w:rsidR="00F6080D">
        <w:rPr>
          <w:rFonts w:cstheme="minorHAnsi"/>
          <w:sz w:val="24"/>
          <w:szCs w:val="24"/>
        </w:rPr>
        <w:t xml:space="preserve"> </w:t>
      </w:r>
      <w:r w:rsidR="00527D2C">
        <w:rPr>
          <w:rFonts w:cstheme="minorHAnsi"/>
          <w:sz w:val="24"/>
          <w:szCs w:val="24"/>
        </w:rPr>
        <w:t>techniczne</w:t>
      </w:r>
      <w:r w:rsidR="00884999">
        <w:rPr>
          <w:rFonts w:cstheme="minorHAnsi"/>
          <w:sz w:val="24"/>
          <w:szCs w:val="24"/>
        </w:rPr>
        <w:t>, ewentualne dostosowanie obecnych instalacji obiektów do przeniesienia zwiększonej mocy instalacji fotowoltaicznych, dostosowanie (wymiana) istniejącej automatyki/telemechaniki wraz z ich uzgodnieniem z Operatorem Sieci</w:t>
      </w:r>
      <w:r w:rsidR="00F6080D">
        <w:rPr>
          <w:rFonts w:cstheme="minorHAnsi"/>
          <w:sz w:val="24"/>
          <w:szCs w:val="24"/>
        </w:rPr>
        <w:t>;</w:t>
      </w:r>
    </w:p>
    <w:p w14:paraId="2270891E" w14:textId="7E0D59A6" w:rsidR="0060228C" w:rsidRPr="000423E5" w:rsidRDefault="0060228C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techniczny branży elektrycznej opracowany zgodnie z warunkami przyłączenia instalacji PV, które</w:t>
      </w:r>
      <w:r w:rsidR="00F6080D">
        <w:rPr>
          <w:rFonts w:cstheme="minorHAnsi"/>
          <w:sz w:val="24"/>
          <w:szCs w:val="24"/>
        </w:rPr>
        <w:t xml:space="preserve"> zostaną wydane przez </w:t>
      </w:r>
      <w:r w:rsidR="0048631C">
        <w:rPr>
          <w:rFonts w:cstheme="minorHAnsi"/>
          <w:sz w:val="24"/>
          <w:szCs w:val="24"/>
        </w:rPr>
        <w:t>O</w:t>
      </w:r>
      <w:r w:rsidR="00F6080D">
        <w:rPr>
          <w:rFonts w:cstheme="minorHAnsi"/>
          <w:sz w:val="24"/>
          <w:szCs w:val="24"/>
        </w:rPr>
        <w:t>peratora Sieci</w:t>
      </w:r>
      <w:r w:rsidR="00120915">
        <w:rPr>
          <w:rFonts w:cstheme="minorHAnsi"/>
          <w:sz w:val="24"/>
          <w:szCs w:val="24"/>
        </w:rPr>
        <w:t>;</w:t>
      </w:r>
    </w:p>
    <w:p w14:paraId="0479C66E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Rzuty, przekroje, detale, rysunki widoki rozdzielnic i inne;</w:t>
      </w:r>
    </w:p>
    <w:p w14:paraId="4EBE19B1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Parametry techniczne, charakterystykę ruchową i eksploatacyjną przyłączanych urządzeń, instalacji lub sieci, w tym specyfikację techniczną/karty katalogowe urządzeń wytwórczych i przekształtnikowych;</w:t>
      </w:r>
    </w:p>
    <w:p w14:paraId="6DEC69D3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Wymagane prawem oświadczenia; </w:t>
      </w:r>
    </w:p>
    <w:p w14:paraId="21A4AB48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Deklarację zgodności parametrów technicznych przyłączanych instalacji, urządzeń lub sieci z aktualną dyrektywą niskonapięciową LVD oraz dyrektywą kompatybilności elektromagnetycznej. Kompletna dokumentacja techniczna w formie utrwalonej na piśmie i wersji elektronicznej w 2 egzemplarzach. </w:t>
      </w:r>
    </w:p>
    <w:p w14:paraId="757843BC" w14:textId="77777777" w:rsidR="00566DA5" w:rsidRPr="000423E5" w:rsidRDefault="00566DA5" w:rsidP="00804A54">
      <w:pPr>
        <w:spacing w:after="0"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20305BC" w14:textId="3235F9BB" w:rsidR="00E36619" w:rsidRPr="000423E5" w:rsidRDefault="00E36619" w:rsidP="00804A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Etap II: Uzyskanie niezbędnych pozwoleń i uzgodnień w tym pozwolenia na budowę.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Etap obejmuje w szczególności: </w:t>
      </w:r>
    </w:p>
    <w:p w14:paraId="4C057AFF" w14:textId="45C76DBA" w:rsidR="006D48C4" w:rsidRDefault="000E4A9B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p</w:t>
      </w:r>
      <w:r w:rsidR="006D48C4" w:rsidRPr="000423E5">
        <w:rPr>
          <w:rFonts w:cstheme="minorHAnsi"/>
          <w:sz w:val="24"/>
          <w:szCs w:val="24"/>
        </w:rPr>
        <w:t>rzygotowanie właściwych wniosków i kompletów dokumentacji niezbędnej do uzyskania pozwolenia budowalnego i innych uzgodnień</w:t>
      </w:r>
      <w:r w:rsidR="00D64BF3">
        <w:rPr>
          <w:rFonts w:cstheme="minorHAnsi"/>
          <w:sz w:val="24"/>
          <w:szCs w:val="24"/>
        </w:rPr>
        <w:t>;</w:t>
      </w:r>
    </w:p>
    <w:p w14:paraId="2600E0C9" w14:textId="5CC473CE" w:rsidR="005B465C" w:rsidRDefault="005B465C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dokumentów do uzyskania warunków przyłączeniowych Gr IV</w:t>
      </w:r>
      <w:r w:rsidR="00D64BF3">
        <w:rPr>
          <w:rFonts w:cstheme="minorHAnsi"/>
          <w:sz w:val="24"/>
          <w:szCs w:val="24"/>
        </w:rPr>
        <w:t>;</w:t>
      </w:r>
    </w:p>
    <w:p w14:paraId="569FB666" w14:textId="274695F0" w:rsidR="006D48C4" w:rsidRDefault="000E4A9B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a</w:t>
      </w:r>
      <w:r w:rsidR="006D48C4" w:rsidRPr="000423E5">
        <w:rPr>
          <w:rFonts w:cstheme="minorHAnsi"/>
          <w:sz w:val="24"/>
          <w:szCs w:val="24"/>
        </w:rPr>
        <w:t>systę podczas procedury uzyskiwania pozwoleń i uzgodnień</w:t>
      </w:r>
      <w:r w:rsidR="00D64BF3">
        <w:rPr>
          <w:rFonts w:cstheme="minorHAnsi"/>
          <w:sz w:val="24"/>
          <w:szCs w:val="24"/>
        </w:rPr>
        <w:t>;</w:t>
      </w:r>
    </w:p>
    <w:p w14:paraId="3E2777D8" w14:textId="5705562E" w:rsidR="00FF5E6D" w:rsidRDefault="00FF5E6D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dokumentacji z operatorem sieci</w:t>
      </w:r>
      <w:r w:rsidR="00D64BF3">
        <w:rPr>
          <w:rFonts w:cstheme="minorHAnsi"/>
          <w:sz w:val="24"/>
          <w:szCs w:val="24"/>
        </w:rPr>
        <w:t>;</w:t>
      </w:r>
    </w:p>
    <w:p w14:paraId="55CBB8BD" w14:textId="509497D6" w:rsidR="00FF5E6D" w:rsidRPr="000423E5" w:rsidRDefault="00FF5E6D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dokumentacji z rzeczoznawcą ds. p/poż</w:t>
      </w:r>
      <w:r w:rsidR="00D64BF3">
        <w:rPr>
          <w:rFonts w:cstheme="minorHAnsi"/>
          <w:sz w:val="24"/>
          <w:szCs w:val="24"/>
        </w:rPr>
        <w:t>;</w:t>
      </w:r>
    </w:p>
    <w:p w14:paraId="5BBA4663" w14:textId="61C6BBB0" w:rsidR="006D48C4" w:rsidRPr="00D64BF3" w:rsidRDefault="00D64BF3" w:rsidP="00D64BF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C50D7" w:rsidRPr="00D64BF3">
        <w:rPr>
          <w:rFonts w:cstheme="minorHAnsi"/>
          <w:sz w:val="24"/>
          <w:szCs w:val="24"/>
        </w:rPr>
        <w:t xml:space="preserve">amawiający zastrzega sobie prawo do wnoszenia poprawek i uwag do dokumentacji projektowej. </w:t>
      </w:r>
      <w:r w:rsidR="006D48C4" w:rsidRPr="00D64BF3">
        <w:rPr>
          <w:rFonts w:cstheme="minorHAnsi"/>
          <w:sz w:val="24"/>
          <w:szCs w:val="24"/>
        </w:rPr>
        <w:t xml:space="preserve"> </w:t>
      </w:r>
    </w:p>
    <w:p w14:paraId="2FA98A45" w14:textId="77777777" w:rsidR="006D48C4" w:rsidRPr="000423E5" w:rsidRDefault="00A2604F" w:rsidP="001209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Etap II</w:t>
      </w:r>
      <w:r w:rsidR="006D48C4"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 Roboty budowlano – montażowe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powinny obejmować: </w:t>
      </w:r>
    </w:p>
    <w:p w14:paraId="550905DF" w14:textId="1A468A76" w:rsidR="006D48C4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rzygotowanie terenu budowy; </w:t>
      </w:r>
    </w:p>
    <w:p w14:paraId="454BA4B9" w14:textId="5A756E2B" w:rsidR="00A2604F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ykonanie niezbędnych robót budowlanych: montażowych instalacyjnych i ogólnobudowlanych; </w:t>
      </w:r>
    </w:p>
    <w:p w14:paraId="199C38E1" w14:textId="7B046370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obór i dostawa konstrukcji do montażu paneli;</w:t>
      </w:r>
    </w:p>
    <w:p w14:paraId="30165931" w14:textId="5D015631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obór, dostawa i montaż całej infrastruktury technicznej towarzyszącej, tzn. falowników, </w:t>
      </w:r>
      <w:r w:rsidR="00130A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optymalizatorów,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paneli, liczników etc.; </w:t>
      </w:r>
    </w:p>
    <w:p w14:paraId="20D4C2F7" w14:textId="756C51BC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budowa połączeń kablowych między panelami;</w:t>
      </w:r>
    </w:p>
    <w:p w14:paraId="5A161E57" w14:textId="4F72837F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konfiguracja systemu zarządzania energią zgodnie z wymaganiami określonymi w 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ust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 1.4;</w:t>
      </w:r>
    </w:p>
    <w:p w14:paraId="42A4E9BD" w14:textId="77777777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instalacja ochrony odgromowej i przepięciowej zgodnie z obowiązującymi normami i przepisami;</w:t>
      </w:r>
    </w:p>
    <w:p w14:paraId="44342265" w14:textId="77777777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wykonanie odpowiednich badań i pomiarów oraz sporządzenie protokołów,</w:t>
      </w:r>
    </w:p>
    <w:p w14:paraId="5EAC6CB0" w14:textId="60CCFE92" w:rsidR="000E4A9B" w:rsidRPr="000423E5" w:rsidRDefault="000E4A9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wykonanie i przedstawienie instrukcji obsługi w zakresie eksploatacji 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instalacji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fotowoltaicznej;</w:t>
      </w:r>
    </w:p>
    <w:p w14:paraId="5C88AF57" w14:textId="55903B0D" w:rsidR="000E4A9B" w:rsidRDefault="000E4A9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wykonanie instrukcji p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poż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. obejmującej projektowaną instalację,</w:t>
      </w:r>
    </w:p>
    <w:p w14:paraId="19364B99" w14:textId="1254A36C" w:rsidR="003C1E7B" w:rsidRDefault="003C1E7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odpowiednie przygotowanie rozdzielni prądu,</w:t>
      </w:r>
    </w:p>
    <w:p w14:paraId="7A825831" w14:textId="0E8C722A" w:rsidR="000E4A9B" w:rsidRDefault="000E4A9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przygotowanie dokumentacji zgłoszeniowej przyłączenia instalacji do sieci elektroenergetycznej oraz jej zgłoszenie do Operatora</w:t>
      </w:r>
      <w:r w:rsidR="00A333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Sieci,</w:t>
      </w:r>
    </w:p>
    <w:p w14:paraId="3D04747F" w14:textId="7914F1D7" w:rsidR="00A33323" w:rsidRPr="000423E5" w:rsidRDefault="00A33323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uruchomienie rozdzielnicy EAZ, przygotowanie pełnej dokumentacji technicznej obejmującej układy automatyki, telemechaniki i sterowania oraz uzgodnienie z Operatorem Sieci</w:t>
      </w:r>
      <w:r w:rsidR="00FB3AD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16D5D4D" w14:textId="77777777" w:rsidR="00684594" w:rsidRPr="000423E5" w:rsidRDefault="00684594" w:rsidP="00196FA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1FB368F" w14:textId="16D7D75A" w:rsidR="00A2604F" w:rsidRPr="000423E5" w:rsidRDefault="00A2604F" w:rsidP="00196FA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 do wykonania przedmiotu zamówienia zgodnie z zatwierdzoną dokumentacją techniczną i polskimi normami oraz aktualnym stanem wiedzy technicznej. W trakcie realizacji zamówienia do obowiązków Wykonawcy i na jego koszt, należy zrealizowanie inwestycji zgodnie z Prawem budowlanym, a w szczególności:   </w:t>
      </w:r>
    </w:p>
    <w:p w14:paraId="2BB1AC3B" w14:textId="77777777" w:rsidR="00997B76" w:rsidRPr="00997B76" w:rsidRDefault="00A2604F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wyłączne stosowanie do robót budowlanych materiałów najwyższej jakości, dopuszczonych do obrotu i stosowania zgodnie z art. 10 Ustawy Prawo budowlane, </w:t>
      </w:r>
    </w:p>
    <w:p w14:paraId="73BB81A6" w14:textId="77777777" w:rsidR="00997B76" w:rsidRPr="00997B76" w:rsidRDefault="00A2604F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koordynacja robót branżowych wykonywanych na obiekcie,</w:t>
      </w:r>
    </w:p>
    <w:p w14:paraId="1A939CA8" w14:textId="77777777" w:rsidR="00591DD6" w:rsidRPr="00591DD6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zapewnienie dostaw urządzeń zgodnie z programem funkcjonalno-użytkowym,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specyfikacją projektową i specyfikacją techniczna wykonaną w projekcie,</w:t>
      </w:r>
    </w:p>
    <w:p w14:paraId="7537349E" w14:textId="77777777" w:rsidR="00591DD6" w:rsidRPr="00591DD6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wykonanie wszystkich </w:t>
      </w:r>
      <w:r w:rsidR="00591D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wymaganych normami, warunkami technicznymi i odbioru robót budowlano-montażowych zawartymi w niniejszym programie oraz stosowny</w:t>
      </w:r>
      <w:r w:rsidR="00591D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 przepisa</w:t>
      </w:r>
      <w:r w:rsidR="00591DD6">
        <w:rPr>
          <w:rFonts w:eastAsia="Times New Roman" w:cstheme="minorHAnsi"/>
          <w:color w:val="000000"/>
          <w:sz w:val="24"/>
          <w:szCs w:val="24"/>
          <w:lang w:eastAsia="pl-PL"/>
        </w:rPr>
        <w:t>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pomiarów, badań, prób oraz rozruchów, </w:t>
      </w:r>
    </w:p>
    <w:p w14:paraId="591AB657" w14:textId="77777777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udział w odbiorach technicznych i odbiorach częściowych robót budowlanych oraz w Odbiorze Końcowym Przedmiotu Zamówienia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C4CA783" w14:textId="77777777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instalacja PV musi być wykonana zgodnie z obowiązującymi przepisami, normami, w szczególności z normą PN-EN-50438 i zasadami wiedzy technicznej i znajdować się w stanie umożliwiającym załączenie jej pod napięcie oraz zapewniać wymagania techniczne i eksploatacyjne określone w art.7a ustawy Prawo energetyczne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D76C611" w14:textId="09320A4A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instalacja w obiektach musi zostać wykonana zgodnie z kryteriami oceny możliwości przyłączania oraz wymaganiami niskiego napięcia Operatora 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Sieci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87358DA" w14:textId="77777777" w:rsidR="00F81E81" w:rsidRPr="00F81E81" w:rsidRDefault="00F81E81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>astosowane blokady uniemożliwi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współpracę źródła wytwórczego z siecią energetyczną w przypadku zaniku napięcia z tej sieci (instalacja źródła wytwórczego zostanie automatycznie odłączona od sieci energetyczną)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F3106D7" w14:textId="4151B3F0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instalacja spełni warunki techniczne i eksploatacyjne określone w Instrukcji Ruchu i Eksploatacji Sieci Dystrybucyjnej lub innym dokumencie wskazanym przez właściwego </w:t>
      </w:r>
      <w:r w:rsidR="00863397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peratora Sieci,</w:t>
      </w:r>
    </w:p>
    <w:p w14:paraId="2612828B" w14:textId="518FD712" w:rsidR="00684594" w:rsidRPr="000423E5" w:rsidRDefault="00F81E81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ontaż instalacji musi zostać dokonany przez uprawnionego instalatora, który zagwarantuje poprawny montaż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instalacji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spełnienie wymogów dotyczących bezpieczeństwa pracy instalacji w obiekcie i sieci elektroenergetycznej. Przez uprawnionego instalatora rozumie się osobę posiadającą:  </w:t>
      </w:r>
      <w:r w:rsidR="00D64BF3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ażny certyfikat potwierdzający kwalifikacje do instalowania odnawialnych źródeł energii (art. 136 i art. 145 ustawy o odnawialnych źródłach energii) lub ważne świadectwo kwalifikacyjne uprawniające do zajmowania się eksploatacją urządzeń, instalacji i sieci lub 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uprawnienia budowlane w specjalności instalacyjnej w zakresie sieci, instalacji i urządzeń elektrycznych i elektroenergetycznych.</w:t>
      </w:r>
    </w:p>
    <w:p w14:paraId="02D50130" w14:textId="66114CA1" w:rsidR="00A2604F" w:rsidRPr="000423E5" w:rsidRDefault="00A2604F" w:rsidP="00410DEA">
      <w:pPr>
        <w:pStyle w:val="Nagwek1"/>
        <w:numPr>
          <w:ilvl w:val="1"/>
          <w:numId w:val="1"/>
        </w:numPr>
        <w:rPr>
          <w:rFonts w:asciiTheme="minorHAnsi" w:hAnsiTheme="minorHAnsi" w:cstheme="minorHAnsi"/>
        </w:rPr>
      </w:pPr>
      <w:bookmarkStart w:id="4" w:name="_Toc106619739"/>
      <w:r w:rsidRPr="000423E5">
        <w:rPr>
          <w:rFonts w:asciiTheme="minorHAnsi" w:hAnsiTheme="minorHAnsi" w:cstheme="minorHAnsi"/>
        </w:rPr>
        <w:t>Parametry kluczowych elementów zamawianej instalacji</w:t>
      </w:r>
      <w:bookmarkEnd w:id="4"/>
      <w:r w:rsidRPr="000423E5">
        <w:rPr>
          <w:rFonts w:asciiTheme="minorHAnsi" w:hAnsiTheme="minorHAnsi" w:cstheme="minorHAnsi"/>
        </w:rPr>
        <w:t> </w:t>
      </w:r>
    </w:p>
    <w:p w14:paraId="409B3507" w14:textId="43FA9268" w:rsidR="00A2604F" w:rsidRPr="000423E5" w:rsidRDefault="00A2604F" w:rsidP="00A407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Przewiduje się możliwość korekty ww. parametrów, wyłącznie w niezbędnym zakresie, pod warunkiem konieczności dostosowania instalacji do warunków technicznych budynk</w:t>
      </w:r>
      <w:r w:rsidR="00DC252C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określonych w trakcie realizacji Etapu I.</w:t>
      </w:r>
    </w:p>
    <w:p w14:paraId="1D4E15EE" w14:textId="77777777" w:rsidR="00A2604F" w:rsidRPr="000423E5" w:rsidRDefault="00A2604F" w:rsidP="00804A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AC0168" w14:textId="46E677AF" w:rsidR="00A2604F" w:rsidRPr="000423E5" w:rsidRDefault="00863397" w:rsidP="00804A54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Najważniejsze elementy instalacji</w:t>
      </w:r>
    </w:p>
    <w:p w14:paraId="7CBEEA97" w14:textId="77777777" w:rsidR="00A2604F" w:rsidRPr="000423E5" w:rsidRDefault="00A2604F" w:rsidP="00804A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154"/>
        <w:gridCol w:w="1366"/>
      </w:tblGrid>
      <w:tr w:rsidR="00A2604F" w:rsidRPr="000423E5" w14:paraId="3FAAACE3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8DB4" w14:textId="77777777" w:rsidR="00A2604F" w:rsidRPr="008F62C0" w:rsidRDefault="00A2604F" w:rsidP="008F62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2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Rodzaj elementu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0D21" w14:textId="77777777" w:rsidR="00A2604F" w:rsidRPr="008F62C0" w:rsidRDefault="00A2604F" w:rsidP="008F62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2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838E" w14:textId="77777777" w:rsidR="00A2604F" w:rsidRPr="008F62C0" w:rsidRDefault="00A2604F" w:rsidP="008F62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2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2604F" w:rsidRPr="000423E5" w14:paraId="4A472BDC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5330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Dokumentacja techniczna instalacji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204B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Zgodność z niniejszym programem funkcjonalno-użytkowym. Inwestycja realizowana w trybie „zaprojektuj i wybuduj” w oparciu o program funkcjonalno-użytkowy.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BE82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A2604F" w:rsidRPr="000423E5" w14:paraId="133118B0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7E53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Moduły fotowoltaiczne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031B" w14:textId="60B06CCD" w:rsidR="00F56A40" w:rsidRPr="000423E5" w:rsidRDefault="00A2604F" w:rsidP="008F62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Oczekiwane </w:t>
            </w:r>
            <w:r w:rsidR="00A046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minimalne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parametry w standardowych warunkach testowych: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Moduły fotowoltaiczne nowe wyprodukowane </w:t>
            </w:r>
            <w:r w:rsidR="00F56A40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później</w:t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niż 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miesięcy przed rozpoczęciem realizacji zadania</w:t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Temperatura pracy: + 85 °C do - 40 °C</w:t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Powłoka antyrefleksyjna. Panele Monokrystaliczne. Testowane zgodnie z IEC 61215 na obciążenie śniegiem do 5400Pa (ok.5,4kN/m²) IEC 61730 klasa stosowania A dla napięcia systemowego do 1000V, klasa ochrony II Gwarancja: min. 12 lat gwarancji 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producenta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 produkt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gwarancja na liniową sprawność mocy modułów; min. 80% po 25 latach.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012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potwierdzenie parametrów mocy modułów wymaga się przedstawienie karty katalogowej producenta wraz z flashtest dla każdego modułu.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Serwis gwarancyjny producenta paneli zapewniony na terenie Polski. 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Wymagany montaż z optymalizatorami mocy.</w:t>
            </w:r>
            <w:r w:rsidR="00F56A40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EB30" w14:textId="50CA6E09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Instalacja o mocy </w:t>
            </w:r>
            <w:r w:rsidR="00EC249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 kWp</w:t>
            </w:r>
            <w:r w:rsidR="00FB3A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3ADD">
              <w:t>(+/- 2%)</w:t>
            </w:r>
          </w:p>
          <w:p w14:paraId="2D077C1C" w14:textId="77777777" w:rsidR="00A2604F" w:rsidRPr="000423E5" w:rsidRDefault="00A2604F" w:rsidP="00804A54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04F" w:rsidRPr="000423E5" w14:paraId="1199B08C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DB99" w14:textId="0A774953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Inwerter falownik sieciowy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573E" w14:textId="622ED266" w:rsidR="00F56A40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Nowy. Beztransformatorowy, trójfazowy. Wydajność minimum 98%. Stopień ochrony minimum IP65. Złącza typu MC4. Zabezpieczenie przed odwróceniem polaryzacji, zabezpieczenie przed zbyt wysokim napięciem, wyłącznik DC. Montaż wewnętrzny i zewnętrzny. Bezwzględne maksymalne napięcie wejściowe DC (Vmax,abs) 1000 V. Zakres temperatur (pracy) -25°C do 60°C. Gwarancja min. 1</w:t>
            </w:r>
            <w:r w:rsid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lat.</w:t>
            </w:r>
            <w:r w:rsidR="002936F3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Wymagane optymalizatory</w:t>
            </w:r>
            <w:r w:rsid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mocy</w:t>
            </w:r>
            <w:r w:rsidR="002936F3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DD7C" w14:textId="50865EEB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Instalacja o </w:t>
            </w:r>
            <w:r w:rsidRP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mocy 120 kW</w:t>
            </w:r>
            <w:r w:rsidR="00050C7A" w:rsidRP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3ADD">
              <w:t>(+/- 2%)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A2604F" w:rsidRPr="000423E5" w14:paraId="041D51DD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9DCF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 zarządzania energią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FBD3" w14:textId="1CAB7CF9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Zgodnie z wymaganiami określonymi w </w:t>
            </w:r>
            <w:r w:rsidR="00DD44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t. 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772A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licencja</w:t>
            </w:r>
          </w:p>
        </w:tc>
      </w:tr>
      <w:tr w:rsidR="00A2604F" w:rsidRPr="000423E5" w14:paraId="70BE018A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09D2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Przewód solarny i złącza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6D8A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Nowy. Oczekiwane parametry: przewód w podwójnej izolacji, odporność na warunki atmosferyczne i promieniowanie UV, złącza MC4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4670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komplet</w:t>
            </w:r>
          </w:p>
        </w:tc>
      </w:tr>
      <w:tr w:rsidR="00A2604F" w:rsidRPr="000423E5" w14:paraId="4F6AB00B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F694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Zabezpieczenia nadprądowe i przeciwprzepięciowe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77E2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Nowy. Oczekiwane parametry: ogranicznik przepięć na każdym z wejść MPPT, rozłącznik bezpiecznikowy + wkładka topikowa na każdym stringu, rozdzielnica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1D6C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komplet</w:t>
            </w:r>
          </w:p>
        </w:tc>
      </w:tr>
      <w:tr w:rsidR="00A2604F" w:rsidRPr="000423E5" w14:paraId="464BB8CF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0D8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Dokumentacja powykonawcza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B910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Zgodność z warunkami technicznymi i przyłączeniowymi.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3F15" w14:textId="77777777" w:rsidR="00A2604F" w:rsidRPr="000423E5" w:rsidRDefault="00A2604F" w:rsidP="00804A5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komplet</w:t>
            </w:r>
          </w:p>
        </w:tc>
      </w:tr>
    </w:tbl>
    <w:p w14:paraId="1DC03735" w14:textId="77777777" w:rsidR="00A2604F" w:rsidRPr="000423E5" w:rsidRDefault="00A2604F" w:rsidP="00A40748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 ramach przedmiotu zamówienia w zakresie opracowania dokumentacji projektowej, wykonawca sporządzi kompletny projekt techniczno-budowlany obejmujący:</w:t>
      </w:r>
    </w:p>
    <w:p w14:paraId="7212B981" w14:textId="47C0769E" w:rsidR="00A2604F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rojekt budowlany (4 egz. w formie utrwalonej na piśmie oraz w formie elektronicznej – płytę CD),</w:t>
      </w:r>
    </w:p>
    <w:p w14:paraId="5410B885" w14:textId="5B5A7E6D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projekt wykonawczy z podziałem na branże (4 egz. w formie utrwalonej na piśmie oraz w formie elektronicznej – płytę CD),</w:t>
      </w:r>
    </w:p>
    <w:p w14:paraId="7E681324" w14:textId="77777777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specyfikację techniczną wykonania i odbioru robót (2 egz. w formie utrwalonej na piśmie oraz w formie elektronicznej – płytę CD),</w:t>
      </w:r>
    </w:p>
    <w:p w14:paraId="1EA7A06C" w14:textId="67F61CC7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instrukcję obsługi i konserwacji elektrowni w języku polskim (2 egz. w formie utrwalonej na </w:t>
      </w:r>
      <w:r w:rsidR="00C122E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iśmie oraz w formie elektronicznej – płytę CD),</w:t>
      </w:r>
    </w:p>
    <w:p w14:paraId="7C8D8CCD" w14:textId="37FE10C4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harmonogram realizacji inwestycji</w:t>
      </w:r>
      <w:r w:rsidR="00C122E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1B226B0" w14:textId="156FAF9F" w:rsidR="00C122EF" w:rsidRPr="000423E5" w:rsidRDefault="00C122EF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opracowanie przedmiaru robót - w ilości 3 egz. </w:t>
      </w:r>
    </w:p>
    <w:p w14:paraId="3F620BFD" w14:textId="31B8B33B" w:rsidR="00C122EF" w:rsidRPr="000423E5" w:rsidRDefault="00C122EF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kosztorys inwestorski - w ilości 3 egz. określając</w:t>
      </w:r>
      <w:r w:rsidR="00E70D18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racjonalną wielkość nakładów inwestycyjnych według norm prawem przypisanych,</w:t>
      </w:r>
    </w:p>
    <w:p w14:paraId="595741A4" w14:textId="1E7E1AB0" w:rsidR="00C122EF" w:rsidRDefault="00C122EF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zapewnienie nadzoru autorskiego przez cały okres trwania inwestycji realizowanej na bazie sporządzonego projektu</w:t>
      </w:r>
      <w:r w:rsidR="00370DA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6A156DB" w14:textId="20817F2C" w:rsidR="00E70D18" w:rsidRDefault="00FA4F44" w:rsidP="00A40748">
      <w:pPr>
        <w:spacing w:after="20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>rojekt techniczno-budowlany opracowany z uwzględnieniem niniejszego programu funkcjonalno-użytkowego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musi uwzględniać wymagania </w:t>
      </w:r>
      <w:bookmarkStart w:id="5" w:name="_Hlk109649864"/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>określone w Rozporządzeni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132EC4" w:rsidRPr="00132EC4">
        <w:rPr>
          <w:rFonts w:ascii="Calibri" w:hAnsi="Calibri" w:cs="Calibri"/>
          <w:kern w:val="20"/>
        </w:rPr>
        <w:t xml:space="preserve"> </w:t>
      </w:r>
      <w:r w:rsidR="00132EC4">
        <w:rPr>
          <w:rFonts w:ascii="Calibri" w:hAnsi="Calibri" w:cs="Calibri"/>
          <w:kern w:val="20"/>
        </w:rPr>
        <w:t>(Dz.U.2021.2454)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bookmarkEnd w:id="5"/>
    <w:p w14:paraId="75F2DCDA" w14:textId="2A991D6A" w:rsidR="00EE3662" w:rsidRDefault="00FA4F44" w:rsidP="00A40748">
      <w:pPr>
        <w:spacing w:after="20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Specyfikacja techniczna wykonania i odbioru robót budowlanych jest rozumiana jako opracowania zawierające w szczególności zbiory wymagań, które są niezbędne do określenia standardu i jakości wykonania robót, w zakresie sposobu wykonania robót budowlanych, właściwości wyrobów budowlanych oraz oceny prawidłowości wykonania poszczególnych robót. Specyfikacje muszą uwzględniać wymagania </w:t>
      </w:r>
      <w:r w:rsidR="00EE3662" w:rsidRPr="00FA4F44">
        <w:rPr>
          <w:rFonts w:eastAsia="Times New Roman" w:cstheme="minorHAnsi"/>
          <w:color w:val="000000"/>
          <w:sz w:val="24"/>
          <w:szCs w:val="24"/>
          <w:lang w:eastAsia="pl-PL"/>
        </w:rPr>
        <w:t>określone w Rozporządzeni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E3662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132E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32EC4">
        <w:rPr>
          <w:rFonts w:ascii="Calibri" w:hAnsi="Calibri" w:cs="Calibri"/>
          <w:kern w:val="20"/>
        </w:rPr>
        <w:t>(Dz.U.2021.2454)</w:t>
      </w:r>
      <w:r w:rsidR="00EE366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8E42CD6" w14:textId="5FDF99CC" w:rsidR="00252FEC" w:rsidRDefault="00EE3662" w:rsidP="00A40748">
      <w:pPr>
        <w:spacing w:after="20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Przedmiar robót </w:t>
      </w:r>
      <w:r w:rsidR="00863397">
        <w:rPr>
          <w:rFonts w:eastAsia="Times New Roman" w:cstheme="minorHAnsi"/>
          <w:color w:val="000000"/>
          <w:sz w:val="24"/>
          <w:szCs w:val="24"/>
          <w:lang w:eastAsia="pl-PL"/>
        </w:rPr>
        <w:t>to opracowania zawierające zestawien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 przewidywanych do wykonania robót 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 Przedmiary muszą uwzględniać wymagania określone w </w:t>
      </w:r>
      <w:r w:rsidR="00252FEC" w:rsidRPr="00FA4F44">
        <w:rPr>
          <w:rFonts w:eastAsia="Times New Roman" w:cstheme="minorHAnsi"/>
          <w:color w:val="000000"/>
          <w:sz w:val="24"/>
          <w:szCs w:val="24"/>
          <w:lang w:eastAsia="pl-PL"/>
        </w:rPr>
        <w:t>Rozporządzeni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252FEC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Ministra Rozwoju </w:t>
      </w:r>
      <w:r w:rsidR="00252FEC" w:rsidRPr="00FA4F44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 Technologii z dnia 20 grudnia 2021 r. w sprawie szczegółowego zakresu i formy dokumentacji projektowej, specyfikacji technicznych wykonania i odbioru robót budowlanych</w:t>
      </w:r>
      <w:r w:rsidR="006A6D62" w:rsidRPr="006A6D62">
        <w:rPr>
          <w:rFonts w:ascii="Calibri" w:hAnsi="Calibri" w:cs="Calibri"/>
          <w:kern w:val="20"/>
        </w:rPr>
        <w:t xml:space="preserve"> </w:t>
      </w:r>
      <w:r w:rsidR="006A6D62">
        <w:rPr>
          <w:rFonts w:ascii="Calibri" w:hAnsi="Calibri" w:cs="Calibri"/>
          <w:kern w:val="20"/>
        </w:rPr>
        <w:t>(Dz.U.2021.2454)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82C4578" w14:textId="399534BF" w:rsidR="007C5F5E" w:rsidRPr="007C5F5E" w:rsidRDefault="00252FEC" w:rsidP="00370DAB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 w:rsidRPr="007C5F5E">
        <w:rPr>
          <w:rFonts w:asciiTheme="minorHAnsi" w:hAnsiTheme="minorHAnsi" w:cstheme="minorHAnsi"/>
          <w:b w:val="0"/>
          <w:bCs w:val="0"/>
        </w:rPr>
        <w:t>Kosztorys inwestorski powinien być wykonany zgodnie z</w:t>
      </w:r>
      <w:r w:rsidR="007C5F5E" w:rsidRPr="007C5F5E">
        <w:rPr>
          <w:rFonts w:asciiTheme="minorHAnsi" w:hAnsiTheme="minorHAnsi" w:cstheme="minorHAnsi"/>
          <w:b w:val="0"/>
          <w:bCs w:val="0"/>
        </w:rPr>
        <w:t xml:space="preserve"> Rozporządzenie</w:t>
      </w:r>
      <w:r w:rsidR="007C5F5E">
        <w:rPr>
          <w:rFonts w:asciiTheme="minorHAnsi" w:hAnsiTheme="minorHAnsi" w:cstheme="minorHAnsi"/>
          <w:b w:val="0"/>
          <w:bCs w:val="0"/>
        </w:rPr>
        <w:t>m</w:t>
      </w:r>
      <w:r w:rsidR="007C5F5E" w:rsidRPr="007C5F5E">
        <w:rPr>
          <w:rFonts w:asciiTheme="minorHAnsi" w:hAnsiTheme="minorHAnsi" w:cstheme="minorHAnsi"/>
          <w:b w:val="0"/>
          <w:bCs w:val="0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6A6D62">
        <w:rPr>
          <w:rFonts w:asciiTheme="minorHAnsi" w:hAnsiTheme="minorHAnsi" w:cstheme="minorHAnsi"/>
          <w:b w:val="0"/>
          <w:bCs w:val="0"/>
        </w:rPr>
        <w:t xml:space="preserve"> </w:t>
      </w:r>
      <w:r w:rsidR="006A6D62" w:rsidRPr="006A6D62">
        <w:rPr>
          <w:rFonts w:ascii="Calibri" w:hAnsi="Calibri" w:cs="Calibri"/>
          <w:b w:val="0"/>
          <w:bCs w:val="0"/>
          <w:kern w:val="20"/>
          <w:sz w:val="22"/>
          <w:szCs w:val="22"/>
        </w:rPr>
        <w:t>(Dz.U.2021.2458)</w:t>
      </w:r>
    </w:p>
    <w:p w14:paraId="5FCE956A" w14:textId="10CA911A" w:rsidR="00E70D18" w:rsidRPr="000423E5" w:rsidRDefault="00E70D18" w:rsidP="00E70D18">
      <w:pPr>
        <w:rPr>
          <w:rFonts w:cstheme="minorHAnsi"/>
          <w:b/>
          <w:bCs/>
          <w:sz w:val="24"/>
          <w:szCs w:val="24"/>
        </w:rPr>
      </w:pPr>
      <w:r w:rsidRPr="000423E5">
        <w:rPr>
          <w:rFonts w:cstheme="minorHAnsi"/>
          <w:b/>
          <w:bCs/>
          <w:sz w:val="24"/>
          <w:szCs w:val="24"/>
        </w:rPr>
        <w:t>Wymagania dla systemu zarządzania energią</w:t>
      </w:r>
    </w:p>
    <w:p w14:paraId="1346DC87" w14:textId="462D559E" w:rsidR="00E70D18" w:rsidRPr="000423E5" w:rsidRDefault="00E70D18" w:rsidP="00A40748">
      <w:pPr>
        <w:spacing w:before="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Funkcjonalności:</w:t>
      </w:r>
    </w:p>
    <w:p w14:paraId="2086D26E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Zużycie energii</w:t>
      </w:r>
    </w:p>
    <w:p w14:paraId="6F437FF4" w14:textId="2A80482A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danych o zużyciu energii elektrycznej – zarówno w jednostkach zużytej energii (kWh) jak też związany z tym koszt (PLN)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B90A41D" w14:textId="66D29F56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Agregacja danych w ujęciu rocznym, miesięcznym, tygodniowym oraz dziennym</w:t>
      </w:r>
      <w:r w:rsidR="00370DA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6F49260" w14:textId="165D3772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Funkcja umożliwiająca dobór optymalnej mocy zamówionej na podstawie analizy zużyć szczytowych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FA03C4D" w14:textId="1124CF22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wykorzystania mocy zamówionej wyrażona w danych ilościowych (kW) oraz wartościowych (PLN)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1361E21" w14:textId="28AFBA7E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mocy i energii biernej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2EAEC2" w14:textId="78922D77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Wykrywanie anomalii w zużyciu energii elektrycznej (ponadnormatywne lub zaniżone zużycie energii w danym okresie)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DF308FE" w14:textId="1AE72931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Wbudowany moduł billingowy umożliwiający weryfikację kosztów zmiennych energii elektrycznej wykazanych przez sprzedawcę (dostawcę) energii, za zadany okres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FACBACF" w14:textId="3123F320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Możliwość dowolnej konfiguracji stawek (taryf) dystrybucyjnych oraz sprzedaży energii elektrycznej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0877C6D" w14:textId="77777777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Wbudowany moduł raportowy umożliwiający wygenerowanie raportów za zadany okres:</w:t>
      </w:r>
    </w:p>
    <w:p w14:paraId="48BD4AA6" w14:textId="77777777" w:rsidR="00E70D18" w:rsidRPr="000423E5" w:rsidRDefault="00E70D18" w:rsidP="00A40748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Zestawienia profili zużycia energii elektrycznej</w:t>
      </w:r>
    </w:p>
    <w:p w14:paraId="20E58F1C" w14:textId="4B32E08D" w:rsidR="00E70D18" w:rsidRPr="000423E5" w:rsidRDefault="00E70D18" w:rsidP="00A40748">
      <w:pPr>
        <w:pStyle w:val="Akapitzlist"/>
        <w:numPr>
          <w:ilvl w:val="1"/>
          <w:numId w:val="5"/>
        </w:numPr>
        <w:spacing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Zestawienia ewentualnych anomalii w zużyciu energii elektrycznej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1AFDF9E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Generacja energii</w:t>
      </w:r>
    </w:p>
    <w:p w14:paraId="73227DF2" w14:textId="79DD5776" w:rsidR="00E70D18" w:rsidRPr="000423E5" w:rsidRDefault="00E70D18" w:rsidP="00A4074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generacji energii oraz aktualnej mocy w instalacjach PV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D46AD0B" w14:textId="3B714CB1" w:rsidR="00E70D18" w:rsidRPr="000423E5" w:rsidRDefault="00E70D18" w:rsidP="00A4074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Agregacja danych w ujęciu rocznym, miesięcznym, tygodniowym oraz dziennym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B6949D9" w14:textId="049801D7" w:rsidR="00E70D18" w:rsidRPr="000423E5" w:rsidRDefault="00E70D18" w:rsidP="00A4074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Wbudowany moduł raportowy umożliwiający wygenerowanie raportów za zadany okres, przedstawiający ilość wygenerowanej energii elektrycznej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142F548" w14:textId="77777777" w:rsidR="00E70D18" w:rsidRPr="000423E5" w:rsidRDefault="00E70D18" w:rsidP="00A407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C890EA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Pozafunkcjonalne</w:t>
      </w:r>
    </w:p>
    <w:p w14:paraId="696C3EF7" w14:textId="79E61B05" w:rsidR="00E70D18" w:rsidRPr="000423E5" w:rsidRDefault="00E70D18" w:rsidP="00A4074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Składowanie i przetwarzanie danych w interwałach 15 min oraz 60 min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8B88163" w14:textId="3937986F" w:rsidR="00E70D18" w:rsidRPr="000423E5" w:rsidRDefault="00E70D18" w:rsidP="00A4074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Wysoka dostępność systemu – możliwość pracy w chmurze o gwarantowanej dostępności lub środowisku klastrowym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948B63D" w14:textId="77777777" w:rsidR="00E70D18" w:rsidRPr="000423E5" w:rsidRDefault="00E70D18" w:rsidP="00A407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8424FD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Integracyjne</w:t>
      </w:r>
    </w:p>
    <w:p w14:paraId="498BEE27" w14:textId="77777777" w:rsidR="00E70D18" w:rsidRPr="000423E5" w:rsidRDefault="00E70D18" w:rsidP="00A40748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Modularna architektura zasilania systemu danymi, umożliwiająca:</w:t>
      </w:r>
    </w:p>
    <w:p w14:paraId="183C2BC2" w14:textId="3440BA7F" w:rsidR="00E70D18" w:rsidRPr="000423E5" w:rsidRDefault="00E70D18" w:rsidP="00A40748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Wykorzystanie danych pomiarowych pochodzących z systemów inteligentnego opomiarowania a udostępnianych przez operatorów sieci dystrybucyjnych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7675FEE" w14:textId="323F6105" w:rsidR="00E70D18" w:rsidRPr="000423E5" w:rsidRDefault="00E70D18" w:rsidP="00A40748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Wykorzystanie danych pomiarowych z liczników energii elektrycznej z protokołem Modbus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3D81EFA" w14:textId="4479D036" w:rsidR="00E70D18" w:rsidRPr="000423E5" w:rsidRDefault="00E70D18" w:rsidP="00AD675F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Wykorzystanie danych pomiarowych z liczników energii elektrycznej z protokołem DLMS/COSEM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5293DC8" w14:textId="401AF957" w:rsidR="00E70D18" w:rsidRPr="000423E5" w:rsidRDefault="00E70D18" w:rsidP="00AD675F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Akwizycja i przetwarzanie danych pochodzących z falowników różnych producentów za pomocą urządzeń przyłączonych bezpośrednio do falowników, przesyłających dane bezpośrednio do chmury w której uruchomiony został system lub do lokalizacji on-premise</w:t>
      </w:r>
      <w:r w:rsidR="00DC5F6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3A0E5CC" w14:textId="77777777" w:rsidR="00E70D18" w:rsidRPr="00AC2BDF" w:rsidRDefault="00E70D18" w:rsidP="00AC2BDF">
      <w:pPr>
        <w:spacing w:after="20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524262" w14:textId="08634069" w:rsidR="00A2604F" w:rsidRPr="000423E5" w:rsidRDefault="00A2604F" w:rsidP="006817F9">
      <w:pPr>
        <w:pStyle w:val="Nagwek1"/>
        <w:rPr>
          <w:rFonts w:asciiTheme="minorHAnsi" w:hAnsiTheme="minorHAnsi" w:cstheme="minorHAnsi"/>
        </w:rPr>
      </w:pPr>
      <w:bookmarkStart w:id="6" w:name="_Toc106619740"/>
      <w:r w:rsidRPr="000423E5">
        <w:rPr>
          <w:rFonts w:asciiTheme="minorHAnsi" w:hAnsiTheme="minorHAnsi" w:cstheme="minorHAnsi"/>
        </w:rPr>
        <w:t>Część informacyjna programu funkcjonalno-użytkowego</w:t>
      </w:r>
      <w:bookmarkEnd w:id="6"/>
      <w:r w:rsidRPr="000423E5">
        <w:rPr>
          <w:rFonts w:asciiTheme="minorHAnsi" w:hAnsiTheme="minorHAnsi" w:cstheme="minorHAnsi"/>
        </w:rPr>
        <w:t> </w:t>
      </w:r>
    </w:p>
    <w:p w14:paraId="0AE3204E" w14:textId="77777777" w:rsidR="00AC2BDF" w:rsidRDefault="00A2604F" w:rsidP="00410DEA">
      <w:pPr>
        <w:pStyle w:val="Nagwek1"/>
        <w:numPr>
          <w:ilvl w:val="1"/>
          <w:numId w:val="1"/>
        </w:numPr>
        <w:rPr>
          <w:rFonts w:asciiTheme="minorHAnsi" w:hAnsiTheme="minorHAnsi" w:cstheme="minorHAnsi"/>
        </w:rPr>
      </w:pPr>
      <w:bookmarkStart w:id="7" w:name="_Toc106619741"/>
      <w:r w:rsidRPr="000423E5">
        <w:rPr>
          <w:rFonts w:asciiTheme="minorHAnsi" w:hAnsiTheme="minorHAnsi" w:cstheme="minorHAnsi"/>
        </w:rPr>
        <w:t>Lokalizacja inwestycji</w:t>
      </w:r>
    </w:p>
    <w:p w14:paraId="4CC9AFF3" w14:textId="57C2CFE8" w:rsidR="00A2604F" w:rsidRPr="000423E5" w:rsidRDefault="00A2604F" w:rsidP="00AC2BDF">
      <w:pPr>
        <w:pStyle w:val="Nagwek1"/>
        <w:numPr>
          <w:ilvl w:val="0"/>
          <w:numId w:val="20"/>
        </w:numPr>
        <w:rPr>
          <w:rFonts w:asciiTheme="minorHAnsi" w:hAnsiTheme="minorHAnsi" w:cstheme="minorHAnsi"/>
        </w:rPr>
      </w:pPr>
      <w:r w:rsidRPr="00AC2BDF">
        <w:rPr>
          <w:rFonts w:asciiTheme="minorHAnsi" w:hAnsiTheme="minorHAnsi" w:cstheme="minorHAnsi"/>
        </w:rPr>
        <w:t>120</w:t>
      </w:r>
      <w:r w:rsidRPr="000423E5">
        <w:rPr>
          <w:rFonts w:asciiTheme="minorHAnsi" w:hAnsiTheme="minorHAnsi" w:cstheme="minorHAnsi"/>
        </w:rPr>
        <w:t xml:space="preserve"> kWp</w:t>
      </w:r>
      <w:bookmarkEnd w:id="7"/>
    </w:p>
    <w:p w14:paraId="706FCAFA" w14:textId="1A292770" w:rsidR="00A2604F" w:rsidRPr="000423E5" w:rsidRDefault="00A2604F" w:rsidP="000A5F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Inwestycja zlokalizowana będzie na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dachu budynku CRS Bielany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adres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Lindego 20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, 0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952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Warszawa, województwo mazowieckie </w:t>
      </w:r>
      <w:r w:rsidR="000A5FFB">
        <w:rPr>
          <w:lang w:eastAsia="pl-PL"/>
        </w:rPr>
        <w:t>. Nie planuje się montażu paneli na dachu pływalni (na rysunku połać dachu po lewej stronie w kształcie kwadratu) i dachu hali sportowej (na rysunku połać dachu po prawej stronie w kształcie prostokąta).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Mapa z zaznaczoną lokalizacją inwestycji:   </w:t>
      </w:r>
      <w:r w:rsidR="00AC2B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Lindego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20, 0</w:t>
      </w:r>
      <w:r w:rsidR="00AC2B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</w:t>
      </w:r>
      <w:r w:rsidR="00AC2B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951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Warszawa</w:t>
      </w:r>
    </w:p>
    <w:p w14:paraId="0BCAC086" w14:textId="62046957" w:rsidR="00A2604F" w:rsidRPr="000423E5" w:rsidRDefault="00D14B22" w:rsidP="00804A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4B22">
        <w:rPr>
          <w:rFonts w:cstheme="minorHAnsi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690DFDC6" wp14:editId="3B10F682">
            <wp:extent cx="5514976" cy="27527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750" cy="275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1A3E" w14:textId="63B4594C" w:rsidR="00285CD2" w:rsidRDefault="00285CD2" w:rsidP="00285CD2">
      <w:pPr>
        <w:pStyle w:val="Nagwek1"/>
        <w:numPr>
          <w:ilvl w:val="0"/>
          <w:numId w:val="0"/>
        </w:numPr>
      </w:pPr>
      <w:bookmarkStart w:id="8" w:name="_Toc106619743"/>
    </w:p>
    <w:p w14:paraId="18D294A0" w14:textId="619C73B2" w:rsidR="000A5FFB" w:rsidRDefault="000A5FFB" w:rsidP="000A5FFB">
      <w:pPr>
        <w:rPr>
          <w:lang w:eastAsia="pl-PL"/>
        </w:rPr>
      </w:pPr>
    </w:p>
    <w:p w14:paraId="4A0F6EFF" w14:textId="4D2205BA" w:rsidR="000A5FFB" w:rsidRDefault="000A5FFB" w:rsidP="000A5FFB">
      <w:pPr>
        <w:rPr>
          <w:lang w:eastAsia="pl-PL"/>
        </w:rPr>
      </w:pPr>
    </w:p>
    <w:p w14:paraId="2D428949" w14:textId="6C9991C1" w:rsidR="000A5FFB" w:rsidRDefault="000A5FFB" w:rsidP="000A5FFB">
      <w:pPr>
        <w:rPr>
          <w:lang w:eastAsia="pl-PL"/>
        </w:rPr>
      </w:pPr>
    </w:p>
    <w:p w14:paraId="5A7989F4" w14:textId="03AE44C3" w:rsidR="000A5FFB" w:rsidRDefault="000A5FFB" w:rsidP="000A5FFB">
      <w:pPr>
        <w:rPr>
          <w:lang w:eastAsia="pl-PL"/>
        </w:rPr>
      </w:pPr>
    </w:p>
    <w:p w14:paraId="4F90AEA0" w14:textId="7C881C65" w:rsidR="000A5FFB" w:rsidRDefault="000A5FFB" w:rsidP="000A5FFB">
      <w:pPr>
        <w:rPr>
          <w:lang w:eastAsia="pl-PL"/>
        </w:rPr>
      </w:pPr>
    </w:p>
    <w:p w14:paraId="0CB63A97" w14:textId="45F27BE9" w:rsidR="000A5FFB" w:rsidRDefault="000A5FFB" w:rsidP="000A5FFB">
      <w:pPr>
        <w:rPr>
          <w:lang w:eastAsia="pl-PL"/>
        </w:rPr>
      </w:pPr>
    </w:p>
    <w:p w14:paraId="0288774F" w14:textId="4855C71F" w:rsidR="000A5FFB" w:rsidRDefault="000A5FFB" w:rsidP="000A5FFB">
      <w:pPr>
        <w:rPr>
          <w:lang w:eastAsia="pl-PL"/>
        </w:rPr>
      </w:pPr>
    </w:p>
    <w:p w14:paraId="1DC4DDA9" w14:textId="77777777" w:rsidR="000A5FFB" w:rsidRPr="000A5FFB" w:rsidRDefault="000A5FFB" w:rsidP="000A5FFB">
      <w:pPr>
        <w:rPr>
          <w:lang w:eastAsia="pl-PL"/>
        </w:rPr>
      </w:pPr>
    </w:p>
    <w:p w14:paraId="3D9B373B" w14:textId="67AEEC18" w:rsidR="00285CD2" w:rsidRPr="000A5FFB" w:rsidRDefault="00285CD2" w:rsidP="00285CD2">
      <w:pPr>
        <w:pStyle w:val="Akapitzlist"/>
        <w:numPr>
          <w:ilvl w:val="0"/>
          <w:numId w:val="20"/>
        </w:numPr>
        <w:rPr>
          <w:b/>
          <w:bCs/>
          <w:lang w:eastAsia="pl-PL"/>
        </w:rPr>
      </w:pPr>
      <w:r w:rsidRPr="000A5FFB">
        <w:rPr>
          <w:b/>
          <w:bCs/>
          <w:lang w:eastAsia="pl-PL"/>
        </w:rPr>
        <w:lastRenderedPageBreak/>
        <w:t>70 kWp</w:t>
      </w:r>
    </w:p>
    <w:p w14:paraId="3CA43560" w14:textId="20CC0EB4" w:rsidR="00285CD2" w:rsidRDefault="00285CD2" w:rsidP="00AD675F">
      <w:pPr>
        <w:ind w:left="360"/>
        <w:jc w:val="both"/>
        <w:rPr>
          <w:lang w:eastAsia="pl-PL"/>
        </w:rPr>
      </w:pPr>
    </w:p>
    <w:p w14:paraId="4F5CC663" w14:textId="10EE98D9" w:rsidR="00285CD2" w:rsidRDefault="00285CD2" w:rsidP="00AA0FB4">
      <w:pPr>
        <w:ind w:left="360"/>
        <w:jc w:val="both"/>
        <w:rPr>
          <w:lang w:eastAsia="pl-PL"/>
        </w:rPr>
      </w:pPr>
      <w:r>
        <w:rPr>
          <w:lang w:eastAsia="pl-PL"/>
        </w:rPr>
        <w:t>Inwestycja zlokalizowana będzie na dachu budynku CRS Bielany</w:t>
      </w:r>
      <w:r w:rsidR="00CB655C">
        <w:rPr>
          <w:lang w:eastAsia="pl-PL"/>
        </w:rPr>
        <w:t xml:space="preserve"> m.st.Warszawy w Dzielnicy Bielany, adres Conrada 6, 01-922 Warszawa, województwo mazowieckie</w:t>
      </w:r>
      <w:r w:rsidR="000A5FFB">
        <w:rPr>
          <w:lang w:eastAsia="pl-PL"/>
        </w:rPr>
        <w:t xml:space="preserve">. </w:t>
      </w:r>
      <w:r w:rsidR="000A5FFB">
        <w:rPr>
          <w:lang w:eastAsia="pl-PL"/>
        </w:rPr>
        <w:t xml:space="preserve">Nie planuje się montażu paneli na dachu pływalni (na rysunku połać dachu </w:t>
      </w:r>
      <w:r w:rsidR="000A5FFB">
        <w:rPr>
          <w:lang w:eastAsia="pl-PL"/>
        </w:rPr>
        <w:t>na wprost</w:t>
      </w:r>
      <w:r w:rsidR="000A5FFB">
        <w:rPr>
          <w:lang w:eastAsia="pl-PL"/>
        </w:rPr>
        <w:t xml:space="preserve"> w kształcie </w:t>
      </w:r>
      <w:r w:rsidR="000A5FFB">
        <w:rPr>
          <w:lang w:eastAsia="pl-PL"/>
        </w:rPr>
        <w:t>prostokąta</w:t>
      </w:r>
      <w:r w:rsidR="000A5FFB">
        <w:rPr>
          <w:lang w:eastAsia="pl-PL"/>
        </w:rPr>
        <w:t>)</w:t>
      </w:r>
    </w:p>
    <w:p w14:paraId="65A8CF32" w14:textId="6BC3D2DE" w:rsidR="00F9716D" w:rsidRPr="00285CD2" w:rsidRDefault="00F9716D" w:rsidP="00285CD2">
      <w:pPr>
        <w:ind w:left="360"/>
        <w:rPr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Mapa z zaznaczoną lokalizacją inwestycji:  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Conrada 6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0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922 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Warszawa</w:t>
      </w:r>
    </w:p>
    <w:p w14:paraId="31E121C1" w14:textId="4434EF20" w:rsidR="00285CD2" w:rsidRDefault="00327439" w:rsidP="00285CD2">
      <w:pPr>
        <w:rPr>
          <w:lang w:eastAsia="pl-PL"/>
        </w:rPr>
      </w:pPr>
      <w:r w:rsidRPr="00327439">
        <w:rPr>
          <w:noProof/>
          <w:lang w:eastAsia="pl-PL"/>
        </w:rPr>
        <w:drawing>
          <wp:inline distT="0" distB="0" distL="0" distR="0" wp14:anchorId="3DC67398" wp14:editId="50679E41">
            <wp:extent cx="5895340" cy="433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435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5157" w14:textId="77777777" w:rsidR="00285CD2" w:rsidRPr="00285CD2" w:rsidRDefault="00285CD2" w:rsidP="00285CD2">
      <w:pPr>
        <w:rPr>
          <w:lang w:eastAsia="pl-PL"/>
        </w:rPr>
      </w:pPr>
    </w:p>
    <w:p w14:paraId="68A20EC1" w14:textId="0FEA62DA" w:rsidR="009B1F3D" w:rsidRPr="000423E5" w:rsidRDefault="00A2604F" w:rsidP="00410DEA">
      <w:pPr>
        <w:pStyle w:val="Nagwek1"/>
        <w:numPr>
          <w:ilvl w:val="1"/>
          <w:numId w:val="15"/>
        </w:numPr>
        <w:rPr>
          <w:rFonts w:asciiTheme="minorHAnsi" w:hAnsiTheme="minorHAnsi" w:cstheme="minorHAnsi"/>
        </w:rPr>
      </w:pPr>
      <w:r w:rsidRPr="000423E5">
        <w:rPr>
          <w:rFonts w:asciiTheme="minorHAnsi" w:hAnsiTheme="minorHAnsi" w:cstheme="minorHAnsi"/>
        </w:rPr>
        <w:t>Prawo dysponowania nieruchomością na cele budowlane</w:t>
      </w:r>
      <w:bookmarkEnd w:id="8"/>
      <w:r w:rsidR="00F64C25">
        <w:rPr>
          <w:rFonts w:asciiTheme="minorHAnsi" w:hAnsiTheme="minorHAnsi" w:cstheme="minorHAnsi"/>
        </w:rPr>
        <w:t>.</w:t>
      </w:r>
    </w:p>
    <w:p w14:paraId="038049E0" w14:textId="7A680FC2" w:rsidR="00804A54" w:rsidRPr="000423E5" w:rsidRDefault="00A2604F" w:rsidP="00A40748">
      <w:p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Zamawiający oświadcza, że posiada prawo do dysponowania nieruchomością na cele</w:t>
      </w:r>
      <w:r w:rsidR="009B1F3D" w:rsidRPr="000423E5">
        <w:rPr>
          <w:rFonts w:cstheme="minorHAnsi"/>
          <w:sz w:val="24"/>
          <w:szCs w:val="24"/>
        </w:rPr>
        <w:t xml:space="preserve"> </w:t>
      </w:r>
      <w:r w:rsidRPr="000423E5">
        <w:rPr>
          <w:rFonts w:cstheme="minorHAnsi"/>
          <w:sz w:val="24"/>
          <w:szCs w:val="24"/>
        </w:rPr>
        <w:t>budowlane.</w:t>
      </w:r>
      <w:r w:rsidR="009B1F3D" w:rsidRPr="000423E5">
        <w:rPr>
          <w:rFonts w:cstheme="minorHAnsi"/>
          <w:sz w:val="24"/>
          <w:szCs w:val="24"/>
        </w:rPr>
        <w:t xml:space="preserve"> </w:t>
      </w:r>
    </w:p>
    <w:p w14:paraId="25FC1FCE" w14:textId="5E1C0E79" w:rsidR="009B1F3D" w:rsidRPr="000423E5" w:rsidRDefault="00A2604F" w:rsidP="009B1F3D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9" w:name="_Toc106619744"/>
      <w:r w:rsidRPr="000423E5">
        <w:rPr>
          <w:rFonts w:asciiTheme="minorHAnsi" w:hAnsiTheme="minorHAnsi" w:cstheme="minorHAnsi"/>
        </w:rPr>
        <w:t>2.</w:t>
      </w:r>
      <w:r w:rsidR="00F64C25">
        <w:rPr>
          <w:rFonts w:asciiTheme="minorHAnsi" w:hAnsiTheme="minorHAnsi" w:cstheme="minorHAnsi"/>
        </w:rPr>
        <w:t>3</w:t>
      </w:r>
      <w:r w:rsidRPr="000423E5">
        <w:rPr>
          <w:rFonts w:asciiTheme="minorHAnsi" w:hAnsiTheme="minorHAnsi" w:cstheme="minorHAnsi"/>
        </w:rPr>
        <w:t>. Ochrona środowiska</w:t>
      </w:r>
      <w:r w:rsidR="009B1F3D" w:rsidRPr="000423E5">
        <w:rPr>
          <w:rFonts w:asciiTheme="minorHAnsi" w:hAnsiTheme="minorHAnsi" w:cstheme="minorHAnsi"/>
        </w:rPr>
        <w:t>.</w:t>
      </w:r>
      <w:bookmarkEnd w:id="9"/>
    </w:p>
    <w:p w14:paraId="2988A516" w14:textId="4F3A9CC4" w:rsidR="00A2604F" w:rsidRDefault="00A2604F" w:rsidP="00A40748">
      <w:p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 xml:space="preserve">Dla planowanych inwestycji </w:t>
      </w:r>
      <w:r w:rsidR="00172EA6">
        <w:rPr>
          <w:rFonts w:cstheme="minorHAnsi"/>
          <w:sz w:val="24"/>
          <w:szCs w:val="24"/>
        </w:rPr>
        <w:t>nie przewiduje się</w:t>
      </w:r>
      <w:r w:rsidRPr="000423E5">
        <w:rPr>
          <w:rFonts w:cstheme="minorHAnsi"/>
          <w:sz w:val="24"/>
          <w:szCs w:val="24"/>
        </w:rPr>
        <w:t xml:space="preserve"> przeprowadzenia oceny oddziaływania przedsięwzięcia na środowisko oraz nie jest wymagane uzyskanie decyzji o środowiskowych uwarunkowaniach. Projektowana inwestycja zlokalizowana zostanie poza Obszarami specjalnej ochrony Natura 2000 oraz poza innymi formami ochrony przyrody, o których mowa w art. 6 ustawy z dnia 16 kwietnia 2004 roku o ochronie przyrody (j.t. Dz. U. z 2018 r, poz. 1614 ze zm).  Przedsięwzięcie nie będzie zlokalizowane na obszarach wybrzeży, obszarach górskich lub wodnobłotnych, obszarach ochrony uzdrowiskowej, obszarach o krajobrazie mającym </w:t>
      </w:r>
      <w:r w:rsidRPr="000423E5">
        <w:rPr>
          <w:rFonts w:cstheme="minorHAnsi"/>
          <w:sz w:val="24"/>
          <w:szCs w:val="24"/>
        </w:rPr>
        <w:lastRenderedPageBreak/>
        <w:t>znaczenie historyczne, kulturowe lub archeologiczne. Ogniwa fotowoltaiczne nie oddziaływają negatywnie na ludzi i zwierzęta, nie emitują hałasu, instalacja nie zabiera dodatkowej przestrzeni, przez co nie ma wpływu na dotychczasowy układ przestrzenny najbliższego otoczenia. Przedsięwzięcie z III grupy – niewymienione w rozporządzeniu OOŚ, – dla którego nie przeprowadzono oceny oddziaływania na obszary Natura 2000. </w:t>
      </w:r>
    </w:p>
    <w:p w14:paraId="7A320778" w14:textId="79D5CFA3" w:rsidR="00A2604F" w:rsidRPr="000423E5" w:rsidRDefault="00A2604F" w:rsidP="00804A54">
      <w:pPr>
        <w:pStyle w:val="Nagwek1"/>
        <w:rPr>
          <w:rFonts w:asciiTheme="minorHAnsi" w:hAnsiTheme="minorHAnsi" w:cstheme="minorHAnsi"/>
        </w:rPr>
      </w:pPr>
      <w:bookmarkStart w:id="10" w:name="_Toc106619745"/>
      <w:r w:rsidRPr="000423E5">
        <w:rPr>
          <w:rFonts w:asciiTheme="minorHAnsi" w:hAnsiTheme="minorHAnsi" w:cstheme="minorHAnsi"/>
        </w:rPr>
        <w:t>Realizacja robót</w:t>
      </w:r>
      <w:bookmarkEnd w:id="10"/>
      <w:r w:rsidRPr="000423E5">
        <w:rPr>
          <w:rFonts w:asciiTheme="minorHAnsi" w:hAnsiTheme="minorHAnsi" w:cstheme="minorHAnsi"/>
        </w:rPr>
        <w:t> </w:t>
      </w:r>
    </w:p>
    <w:p w14:paraId="6C55758F" w14:textId="6DDCB0DC" w:rsidR="00A2604F" w:rsidRPr="000423E5" w:rsidRDefault="00A2604F" w:rsidP="00F83A3D">
      <w:pPr>
        <w:jc w:val="both"/>
        <w:rPr>
          <w:rFonts w:cstheme="minorHAnsi"/>
          <w:b/>
          <w:bCs/>
          <w:sz w:val="24"/>
          <w:szCs w:val="24"/>
        </w:rPr>
      </w:pPr>
      <w:r w:rsidRPr="000423E5">
        <w:rPr>
          <w:rFonts w:cstheme="minorHAnsi"/>
          <w:b/>
          <w:bCs/>
          <w:sz w:val="24"/>
          <w:szCs w:val="24"/>
        </w:rPr>
        <w:t>Przygotowanie terenu budowy</w:t>
      </w:r>
    </w:p>
    <w:p w14:paraId="57F4AA78" w14:textId="75D3CEB0" w:rsidR="00A2604F" w:rsidRPr="000423E5" w:rsidRDefault="00A2604F" w:rsidP="00F83A3D">
      <w:pPr>
        <w:shd w:val="clear" w:color="auto" w:fill="FFFFFF"/>
        <w:spacing w:before="216" w:after="0" w:line="240" w:lineRule="auto"/>
        <w:ind w:right="14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 ramach przygotowania terenu budowy Wykonawca zobowiązany jest wykonać i umieścić na swój koszt wszystkie konieczne tablice informacyjne, które będą utrzymywane przez Wykonawcę w dobrym stanie przez cały okres realizacji robót.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Na czas wykonania robót Wykonawca ma obowiązek wykonać lub dostarczyć na swój koszt, tymczasowe urządzenia zabezpieczające, takie jak płoty, światła ostrzegawcze, sygnały, rusztowania itp. o ile będą wymagane.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Do zadań Wykonawcy należy również wykonanie badań i sprawdzeń obligatoryjnych w świetle obowiązujących przepisów prawa oraz ochrony mienia w obrębie terenu budowy.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zobowiązuje się do wykonania przedmiotu zamówienia zgodnie z zatwierdzonym projektem i polskimi normami oraz aktualnym stanem wiedzy technicznej. 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 trakcie realizacji zamówienia do obowiązków Wykonawcy i na jego koszt, należy zrealizowanie inwestycji zgodnie z Prawem budowlanym a w szczególności:</w:t>
      </w:r>
    </w:p>
    <w:p w14:paraId="603C9AF4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before="274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wyłączne stosowanie do robót budowlanych materiałów najwyższej jakości, dopuszczonych do obrotu i stosowania zgodnie z art. 10 Ustawy Prawo budowlane, koordynacja robót branżowych wykonywanych na obiekcie,</w:t>
      </w:r>
    </w:p>
    <w:p w14:paraId="101168EC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zapewnienie dostaw urządzeń zgodnie z programem funkcjonalno użytkowym, specyfikacją projektową i specyfikacją techniczna wykonaną w projekcie,</w:t>
      </w:r>
    </w:p>
    <w:p w14:paraId="06F2D6E4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wykonanie wszystkich wymaganych: normami, warunkami technicznymi wykonania i odbioru robót   budowlano-montażowych zawartymi w niniejszym programie oraz  stosownymi przepisami: pomiarów, badań, prób oraz rozruchów,</w:t>
      </w:r>
    </w:p>
    <w:p w14:paraId="2D2AA24D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udział w odbiorach technicznych i odbiorach częściowych robót budowlanych oraz w Odbiorze Końcowym Przedmiotu Zamówienia,</w:t>
      </w:r>
    </w:p>
    <w:p w14:paraId="57A123A9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przeszkolenie obsługi w zakresie eksploatacji elektrowni fotowoltaicznej.</w:t>
      </w:r>
    </w:p>
    <w:p w14:paraId="5BE1F35E" w14:textId="45E1E67F" w:rsidR="00A2604F" w:rsidRPr="000423E5" w:rsidRDefault="00A2604F" w:rsidP="009B1F3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Transport materiałów</w:t>
      </w:r>
    </w:p>
    <w:p w14:paraId="06424959" w14:textId="47E2DE81" w:rsidR="00A2604F" w:rsidRPr="000423E5" w:rsidRDefault="00A2604F" w:rsidP="006035C7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Transport materiałów na </w:t>
      </w:r>
      <w:r w:rsidR="00552BFB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lac budowy zapewnia Wykonawca na własny koszt.</w:t>
      </w:r>
    </w:p>
    <w:p w14:paraId="380499E6" w14:textId="3AA05BE8" w:rsidR="00A2604F" w:rsidRPr="000423E5" w:rsidRDefault="00A2604F" w:rsidP="00A4074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Odbiory</w:t>
      </w:r>
    </w:p>
    <w:p w14:paraId="2390D9BC" w14:textId="77777777" w:rsidR="00A2604F" w:rsidRPr="000423E5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Zamawiający zastrzega sobie prawo do kontrolowania stanu zaawansowania realizowanych robót,</w:t>
      </w:r>
    </w:p>
    <w:p w14:paraId="06FDB839" w14:textId="77777777" w:rsidR="00A2604F" w:rsidRPr="000423E5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Zamawiający zastrzega sobie prawo do zatwierdzenia projektu technicznego oraz przyjętych w nim rozwiązań technicznych,</w:t>
      </w:r>
    </w:p>
    <w:p w14:paraId="4E911BA7" w14:textId="77777777" w:rsidR="00A2604F" w:rsidRPr="000423E5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Zgłoszenie do Odbioru Końcowego robót po ich zakończeniu następuje na piśmie (możliwość elektronicznie) Zamawiającemu,</w:t>
      </w:r>
    </w:p>
    <w:p w14:paraId="2FDEB14E" w14:textId="329E43D7" w:rsidR="00A2604F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zobowiązuje się do zorganizowania Odbioru Końcowego na wykonane roboty w terminie 7 dni od daty zgłoszenia. Odbiór Końcowy Przedmiotu Zamówienia nastąpi po zrealizowaniu całego zakresu Umowy. Przy  Odbiorze  Końcowym  Przedmiotu  Zamówienia  Zamawiający  dokonuje  rozliczenia ilościowego i jakościowego Wykonawcy z wykonanych robót. Warunkiem dokonania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Odbioru Końcowego jest posiadanie przez Wykonawcę wszelkich wymaganych prawem protokołów odbiorów technicznych oraz kompletna dokumentacja powykonawcza, obejmująca w szczególności projekty, atesty na materiały, gwarancje, DTR, instrukcje, protokoły pomiarów, certyfikaty.</w:t>
      </w:r>
    </w:p>
    <w:p w14:paraId="7C9D6771" w14:textId="5A36F933" w:rsidR="00987A40" w:rsidRPr="000423E5" w:rsidRDefault="00987A40" w:rsidP="00A40748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imieniu Zamawiającego nadzór nad realizacją robót oraz odbiorami będzie sprawował powołany Inspektor Nadzoru Inwestorskiego.</w:t>
      </w:r>
    </w:p>
    <w:p w14:paraId="5915E789" w14:textId="77777777" w:rsidR="006035C7" w:rsidRPr="000423E5" w:rsidRDefault="006035C7" w:rsidP="006035C7">
      <w:pPr>
        <w:shd w:val="clear" w:color="auto" w:fill="FFFFFF"/>
        <w:spacing w:after="0" w:line="240" w:lineRule="auto"/>
        <w:ind w:left="360" w:right="-1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44DCCC" w14:textId="7934AC87" w:rsidR="00A2604F" w:rsidRPr="000423E5" w:rsidRDefault="00A2604F" w:rsidP="00A40748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 dotyczące bezpieczeństwa i higieny pracy oraz ochrony przeciwpożarowej</w:t>
      </w:r>
    </w:p>
    <w:p w14:paraId="25D74152" w14:textId="387FB5F3" w:rsidR="00A2604F" w:rsidRPr="000423E5" w:rsidRDefault="00A2604F" w:rsidP="00A4074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Podczas realizacji robót budowlanych Wykonawca będzie przestrzegać obowiązujących przepisów dotyczących bezpieczeństwa i higieny pracy, między innymi:</w:t>
      </w:r>
    </w:p>
    <w:p w14:paraId="4DF1BE01" w14:textId="1875AF32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z dnia 30 października 2002 r. w sprawie minimalnych wymagań dotyczących bezpieczeństwa i higieny pracy w zakresie użytkowania maszyn przez pracowników podczas pracy (Dz. U. 2002 nr 191 póz. 1596) z późniejszymi zmianami (Dz. U. 2003 nr 178 póz. 1745).</w:t>
      </w:r>
    </w:p>
    <w:p w14:paraId="4E1316B0" w14:textId="42DDBBE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Pracy i Polityki Socjalnej w sprawie ogólnych  przepisów bezpieczeństwa i higieny pracy (j.t. Dz. U. 2003 nr 169 póz. 1650).</w:t>
      </w:r>
    </w:p>
    <w:p w14:paraId="4D5A2E1C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i Pracy z dnia 27 lipca 2004 r. w sprawie szkolenia w dziedzinie bezpieczeństwa i higieny pracy (Dz. U. 2004 nr 180 póz. 1860)</w:t>
      </w:r>
    </w:p>
    <w:p w14:paraId="17A7CFA7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Infrastruktury z dnia 6 lutego 2003 r. w sprawie bezpieczeństwa i higieny pracy podczas wykonywania robót budowlanych (Dz. U. 2003 nr 47 póz. 401).</w:t>
      </w:r>
    </w:p>
    <w:p w14:paraId="1BD5E73A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z dnia 20 września 2001 r. w sprawie bezpieczeństwa i higieny pracy podczas eksploatacji maszyn i innych urządzeń technicznych do robót ziemnych, budowlanych i drogowych (Dz. U. 2001 nr 118 póz. 1263),</w:t>
      </w:r>
    </w:p>
    <w:p w14:paraId="40C06290" w14:textId="697F982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Pracy i Polityki Społecznej z dnia 14 marca 2000 r. w sprawie bezpieczeństwa i higieny pracy przy ręcznych pracach transportowych (Dz. U. 2000 nr 26 póz.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313) z późniejszymi zmianami (Dz. U. 2000 nr 82 póz. 930),</w:t>
      </w:r>
    </w:p>
    <w:p w14:paraId="2F920575" w14:textId="498DD5FA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Gospodarki z dnia </w:t>
      </w:r>
      <w:r w:rsidR="002F0734">
        <w:rPr>
          <w:rFonts w:eastAsia="Times New Roman" w:cstheme="minorHAnsi"/>
          <w:color w:val="000000"/>
          <w:sz w:val="24"/>
          <w:szCs w:val="24"/>
          <w:lang w:eastAsia="pl-PL"/>
        </w:rPr>
        <w:t>28 sierpnia 2019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w sprawie bezpieczeństwa i higieny pracy przy urządzeniach 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energetycznych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(Dz. U. 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2019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poz.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1830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0FE81680" w14:textId="7CA0FCAF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Gospodarki, Pracy i Polityki Społecznej z dnia 28 kwietnia 2003 r. w sprawie szczegółowych zasad stwierdzania posiadania kwalifikacji przez osoby zajmujące się eksploatacją urządzeń, instalacji i sieci (Dz. U. 20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z. 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1392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55B3DA6E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Ministrów Komunikacji oraz Administracji, Gospodarki Terenowej i Ochrony Środowiska z dnia  10 lutego  1977 r. w sprawie bezpieczeństwa i higieny pracy przy wykonywaniu robót drogowych i mostowych (Dz. U. 1977 nr 7 póz. 30).</w:t>
      </w:r>
    </w:p>
    <w:p w14:paraId="6FCF950F" w14:textId="0CC3B124" w:rsidR="00A2604F" w:rsidRPr="000423E5" w:rsidRDefault="00A2604F" w:rsidP="00A40748">
      <w:pPr>
        <w:shd w:val="clear" w:color="auto" w:fill="FFFFFF"/>
        <w:spacing w:before="23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Prace projektowe i budowlane muszą być prowadzone zgodnie z prawem budowlanym, przepisami BHP i  Ppoż., obowiązującymi przy prowadzeniu tego typu prac, w tym w szczególności:</w:t>
      </w:r>
    </w:p>
    <w:p w14:paraId="09965E42" w14:textId="338CD9AE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before="274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Ustawą z dnia 7 lipca 1994r. Prawo budowlane (t.j. Dz. U. z 2019 r., poz. 1186) oraz przepisami z nią związanymi,</w:t>
      </w:r>
    </w:p>
    <w:p w14:paraId="68AABC8D" w14:textId="3A1AC8F9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Rozporządzeniem Ministra Infrastruktury z dnia 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września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 w sprawie szczegółowego zakresu i formy projektu budowlanego (j. t. Dz. U. z 20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poz. 1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609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</w:p>
    <w:p w14:paraId="79105E5C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Ustawą z dnia 27 kwietnia 2001 r. Prawo ochrony środowiska (j.t. Dz. U. z 2018 r., poz. 799 z późn. zm.),</w:t>
      </w:r>
    </w:p>
    <w:p w14:paraId="0400FA45" w14:textId="77777777" w:rsidR="00A2604F" w:rsidRPr="000423E5" w:rsidRDefault="00A2604F" w:rsidP="00A40748">
      <w:pPr>
        <w:pStyle w:val="Akapitzlist"/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Infrastruktury z dnia 6 lutego 2003r. w sprawie bezpieczeństwa i higieny pracy podczas wykonywania robót budowlanych  (Dz. U. Nr 47, Póz. 401),</w:t>
      </w:r>
    </w:p>
    <w:p w14:paraId="348DCC82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Rozporządzeniem Ministra Spraw Wewnętrznych i Administracji z dnia 11 stycznia 2019 r. w sprawie ochrony przeciwpożarowej budynków, innych obiektów budowlanych i terenów (Dz. U. z 2019 r., poz. 67),</w:t>
      </w:r>
    </w:p>
    <w:p w14:paraId="3EEB6DD8" w14:textId="4090DFE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Ustawą z dnia 24 sierpnia 1991 r. o ochronie przeciwpożarowej (j.t. Dz. U. z 2018 r., poz. 620),</w:t>
      </w:r>
    </w:p>
    <w:p w14:paraId="68E1D068" w14:textId="432AAF13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Infrastruktury z dnia 12 kwietnia 2002r. w sprawie warunków  technicznych jakim powinny odpowiadać budynki i ich usytuowanie (j.t. Dz. U. z 2019 r., poz. 1065),</w:t>
      </w:r>
    </w:p>
    <w:p w14:paraId="3A0516EC" w14:textId="4FFEC1FC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Polskimi Normami.</w:t>
      </w:r>
    </w:p>
    <w:p w14:paraId="646021D7" w14:textId="51AB361E" w:rsidR="006035C7" w:rsidRPr="00E77617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before="240"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76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Zamówienie będzie wykonywane zgodnie przepisami obowiązującymi na terenie Rzeczypospolitej oraz w oparciu o przepisy ustawy </w:t>
      </w:r>
      <w:r w:rsidR="00E77617" w:rsidRPr="00E77617">
        <w:rPr>
          <w:rFonts w:eastAsia="Times New Roman" w:cstheme="minorHAnsi"/>
          <w:color w:val="000000"/>
          <w:sz w:val="24"/>
          <w:szCs w:val="24"/>
          <w:lang w:eastAsia="pl-PL"/>
        </w:rPr>
        <w:t>z dnia 11 września 2019 r. Prawo zamówień publicznych (tekst jednolity z 2021 r. poz.1129, z późn. zm.)</w:t>
      </w:r>
    </w:p>
    <w:p w14:paraId="5EA547B5" w14:textId="0878C223" w:rsidR="00A2604F" w:rsidRPr="000423E5" w:rsidRDefault="00A2604F" w:rsidP="00A40748">
      <w:pPr>
        <w:pStyle w:val="Nagwek1"/>
        <w:jc w:val="both"/>
      </w:pPr>
      <w:r w:rsidRPr="000423E5">
        <w:t>Część informacyjna programu funkcjonalno-użytkowego</w:t>
      </w:r>
    </w:p>
    <w:p w14:paraId="05BCE0C5" w14:textId="0021F81B" w:rsidR="00A2604F" w:rsidRPr="000423E5" w:rsidRDefault="009B1F3D" w:rsidP="00A4074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</w:t>
      </w:r>
      <w:r w:rsidR="00A2604F"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ktualne uwarunkowania wykonania przedmiotu zamówienia</w:t>
      </w:r>
    </w:p>
    <w:p w14:paraId="3A079C44" w14:textId="52794524" w:rsidR="00A2604F" w:rsidRPr="000423E5" w:rsidRDefault="00A2604F" w:rsidP="00A40748">
      <w:pPr>
        <w:shd w:val="clear" w:color="auto" w:fill="FFFFFF"/>
        <w:spacing w:after="0" w:line="240" w:lineRule="auto"/>
        <w:ind w:left="14" w:firstLine="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02A71B" w14:textId="77777777" w:rsidR="00A2604F" w:rsidRPr="000423E5" w:rsidRDefault="00A2604F" w:rsidP="00A40748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Adres administracyjny Zamawiającego:</w:t>
      </w:r>
    </w:p>
    <w:p w14:paraId="6DD19ECE" w14:textId="1289FB88" w:rsidR="00A2604F" w:rsidRPr="000423E5" w:rsidRDefault="00E77617" w:rsidP="00A40748">
      <w:pPr>
        <w:pStyle w:val="Akapitzlist"/>
        <w:shd w:val="clear" w:color="auto" w:fill="FFFFFF"/>
        <w:spacing w:after="0" w:line="240" w:lineRule="auto"/>
        <w:ind w:left="360" w:right="7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Centrum Rekreacyjno-Sportowe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Conrada 6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922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Warszawa.</w:t>
      </w:r>
    </w:p>
    <w:p w14:paraId="1DC64989" w14:textId="34C39EA3" w:rsidR="00A2604F" w:rsidRPr="004D3737" w:rsidRDefault="00A2604F" w:rsidP="00A40748">
      <w:pPr>
        <w:pStyle w:val="Akapitzlist"/>
        <w:shd w:val="clear" w:color="auto" w:fill="FFFFFF"/>
        <w:spacing w:after="0" w:line="240" w:lineRule="auto"/>
        <w:ind w:left="360" w:right="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nr 1 do programu funkcjonalno – użytkowego: </w:t>
      </w:r>
      <w:r w:rsidR="004D3737" w:rsidRPr="004D3737">
        <w:rPr>
          <w:rFonts w:ascii="Century" w:hAnsi="Century"/>
        </w:rPr>
        <w:t xml:space="preserve">Ocena techniczna dot. możliwości umieszczenia paneli fotowoltaicznych na dachu </w:t>
      </w:r>
      <w:r w:rsidR="004D3737">
        <w:rPr>
          <w:rFonts w:ascii="Century" w:hAnsi="Century"/>
        </w:rPr>
        <w:t>budynku</w:t>
      </w:r>
      <w:r w:rsidR="004D3737" w:rsidRPr="004D3737">
        <w:rPr>
          <w:rFonts w:ascii="Century" w:hAnsi="Century"/>
        </w:rPr>
        <w:t xml:space="preserve"> CRS Bielany</w:t>
      </w:r>
      <w:r w:rsidR="004D3737">
        <w:rPr>
          <w:rFonts w:ascii="Century" w:hAnsi="Century"/>
        </w:rPr>
        <w:t xml:space="preserve"> ul. Lindego 20</w:t>
      </w:r>
    </w:p>
    <w:p w14:paraId="64639ADA" w14:textId="77777777" w:rsidR="00A2604F" w:rsidRPr="000423E5" w:rsidRDefault="00A2604F" w:rsidP="00A40748">
      <w:pPr>
        <w:pStyle w:val="Akapitzlist"/>
        <w:shd w:val="clear" w:color="auto" w:fill="FFFFFF"/>
        <w:spacing w:before="7"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Osoby uprawnione do reprezentowania Zamawiającego:</w:t>
      </w:r>
    </w:p>
    <w:p w14:paraId="5C387C34" w14:textId="7F6C78C5" w:rsidR="00A2604F" w:rsidRPr="000423E5" w:rsidRDefault="00210522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Anna Szymczak-Gałkowska -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Centrum Sportowo-Rekreacyjnego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Conrada 6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, 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922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Warszawa, tel. 22 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835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00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2604F"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Osoby uprawnione do kontaktu z Wykonawcami:</w:t>
      </w:r>
    </w:p>
    <w:p w14:paraId="7E01BD04" w14:textId="7763F53C" w:rsidR="00A2604F" w:rsidRPr="000423E5" w:rsidRDefault="00210522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Mirosław Kozłowski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Z-ca Dyr.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tel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887 875 437</w:t>
      </w:r>
    </w:p>
    <w:p w14:paraId="2C4334EB" w14:textId="6FF7A7E4" w:rsidR="00A2604F" w:rsidRPr="000423E5" w:rsidRDefault="00210522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Agnieszka Pawlak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Z-ca Dyr.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tel 509</w:t>
      </w:r>
      <w:r w:rsidR="00F83A3D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222</w:t>
      </w:r>
      <w:r w:rsidR="00F83A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019</w:t>
      </w:r>
    </w:p>
    <w:p w14:paraId="1E523858" w14:textId="55D12495" w:rsidR="00176E7D" w:rsidRPr="000423E5" w:rsidRDefault="004A62F1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………………………………………..</w:t>
      </w:r>
      <w:r w:rsidR="00176E7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inspektor nadzoru inwestorskiego, tel </w:t>
      </w:r>
    </w:p>
    <w:p w14:paraId="2951E840" w14:textId="77777777" w:rsidR="00A2604F" w:rsidRPr="000423E5" w:rsidRDefault="00A2604F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Uwagi w zakresie realizacji zamówienia:</w:t>
      </w:r>
    </w:p>
    <w:p w14:paraId="4647A0AA" w14:textId="2CCE5BCF" w:rsidR="00A2604F" w:rsidRPr="000423E5" w:rsidRDefault="00A2604F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Zamawiający zaleca Wykonawcom ubiegających się o udzielenie zamówienia szczegółowego zapoznania się w terenie z warunkami wykonania zamówienia po uzgodnieniu z Zamawiającym</w:t>
      </w:r>
      <w:r w:rsidR="004A62F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(wizja lokalna)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44EB6330" w14:textId="4BD6DDF2" w:rsidR="00A2604F" w:rsidRPr="000423E5" w:rsidRDefault="00A2604F" w:rsidP="00A4074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Pozostałe ustalenia</w:t>
      </w:r>
    </w:p>
    <w:p w14:paraId="15490294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Prace wykonywane będą zgodnie z przepisami prawa budowlanego i sztuką budowlaną.</w:t>
      </w:r>
    </w:p>
    <w:p w14:paraId="2CF4AEF3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przed podpisaniem umowy przedstawi Zamawiającemu harmonogram realizacji prac.</w:t>
      </w:r>
    </w:p>
    <w:p w14:paraId="41E8692F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Materiały stosowane przez wykonawcę przy realizacji zamówienia muszą posiadać aktualne atesty dopuszczające je do stosowania.</w:t>
      </w:r>
    </w:p>
    <w:p w14:paraId="0C17FFCD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Kierownik robót lub jego zastępca winni przebywać na budowie lub być osiągalni na żądanie,</w:t>
      </w:r>
    </w:p>
    <w:p w14:paraId="0FBD1924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zostanie wprowadzony na teren budowy protokołem i od tej  chwili będzie odpowiedzialny za utrzymanie należytego porządku na terenie robót i przestrzeganie przepisów BHP oraz prawnie odpowiadał za bezpieczeństwo swoich pracowników i osób trzecich.</w:t>
      </w:r>
    </w:p>
    <w:p w14:paraId="647A405C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 do natychmiastowego usunięcia niepotrzebnych materiałów, odpadów i pustych pojemników z terenu zamawiającego.</w:t>
      </w:r>
    </w:p>
    <w:p w14:paraId="4103F1CC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Wykonawca zobowiązuje się, że prowadzone prace nie wpłyną na funkcjonowanie obiektów. Wszelkie ograniczenia zasilania energii elektrycznej wynikające z procesu technologicznego realizacji inwestycji będą uzgadniane z Zamawiającym.</w:t>
      </w:r>
    </w:p>
    <w:p w14:paraId="162275F6" w14:textId="5E5456A2" w:rsidR="00C9709C" w:rsidRPr="000423E5" w:rsidRDefault="00000000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sectPr w:rsidR="00C9709C" w:rsidRPr="000423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2E66" w14:textId="77777777" w:rsidR="000310DF" w:rsidRDefault="000310DF" w:rsidP="00C27062">
      <w:pPr>
        <w:spacing w:after="0" w:line="240" w:lineRule="auto"/>
      </w:pPr>
      <w:r>
        <w:separator/>
      </w:r>
    </w:p>
  </w:endnote>
  <w:endnote w:type="continuationSeparator" w:id="0">
    <w:p w14:paraId="4C0BD3F0" w14:textId="77777777" w:rsidR="000310DF" w:rsidRDefault="000310DF" w:rsidP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28798"/>
      <w:docPartObj>
        <w:docPartGallery w:val="Page Numbers (Bottom of Page)"/>
        <w:docPartUnique/>
      </w:docPartObj>
    </w:sdtPr>
    <w:sdtContent>
      <w:p w14:paraId="68D93F32" w14:textId="3F7E2C27" w:rsidR="00C27062" w:rsidRDefault="00C27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3C97F" w14:textId="77777777" w:rsidR="00C27062" w:rsidRDefault="00C2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A1DC" w14:textId="77777777" w:rsidR="000310DF" w:rsidRDefault="000310DF" w:rsidP="00C27062">
      <w:pPr>
        <w:spacing w:after="0" w:line="240" w:lineRule="auto"/>
      </w:pPr>
      <w:r>
        <w:separator/>
      </w:r>
    </w:p>
  </w:footnote>
  <w:footnote w:type="continuationSeparator" w:id="0">
    <w:p w14:paraId="2003DAF2" w14:textId="77777777" w:rsidR="000310DF" w:rsidRDefault="000310DF" w:rsidP="00C2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FC5"/>
    <w:multiLevelType w:val="hybridMultilevel"/>
    <w:tmpl w:val="E722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C04"/>
    <w:multiLevelType w:val="hybridMultilevel"/>
    <w:tmpl w:val="E272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7AC"/>
    <w:multiLevelType w:val="hybridMultilevel"/>
    <w:tmpl w:val="B31E2A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67A"/>
    <w:multiLevelType w:val="hybridMultilevel"/>
    <w:tmpl w:val="B74C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AE5"/>
    <w:multiLevelType w:val="multilevel"/>
    <w:tmpl w:val="B712A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AB1047"/>
    <w:multiLevelType w:val="multilevel"/>
    <w:tmpl w:val="A34C30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D00ACD"/>
    <w:multiLevelType w:val="multilevel"/>
    <w:tmpl w:val="4E265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D72A8A"/>
    <w:multiLevelType w:val="hybridMultilevel"/>
    <w:tmpl w:val="005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2DA8"/>
    <w:multiLevelType w:val="multilevel"/>
    <w:tmpl w:val="5A3AFD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F5715"/>
    <w:multiLevelType w:val="multilevel"/>
    <w:tmpl w:val="A7D4E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E8A793C"/>
    <w:multiLevelType w:val="hybridMultilevel"/>
    <w:tmpl w:val="756C3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754D"/>
    <w:multiLevelType w:val="hybridMultilevel"/>
    <w:tmpl w:val="D28A7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3B8"/>
    <w:multiLevelType w:val="hybridMultilevel"/>
    <w:tmpl w:val="B12C7EBA"/>
    <w:lvl w:ilvl="0" w:tplc="A95EE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041D1"/>
    <w:multiLevelType w:val="hybridMultilevel"/>
    <w:tmpl w:val="671C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1CD9"/>
    <w:multiLevelType w:val="hybridMultilevel"/>
    <w:tmpl w:val="D28A79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653FD"/>
    <w:multiLevelType w:val="hybridMultilevel"/>
    <w:tmpl w:val="8CB4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04400"/>
    <w:multiLevelType w:val="multilevel"/>
    <w:tmpl w:val="4E265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1E0956"/>
    <w:multiLevelType w:val="multilevel"/>
    <w:tmpl w:val="1AB4D9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B91CFD"/>
    <w:multiLevelType w:val="multilevel"/>
    <w:tmpl w:val="04B28CBE"/>
    <w:lvl w:ilvl="0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8D3C70"/>
    <w:multiLevelType w:val="hybridMultilevel"/>
    <w:tmpl w:val="B87CE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001817">
    <w:abstractNumId w:val="18"/>
  </w:num>
  <w:num w:numId="2" w16cid:durableId="1291588499">
    <w:abstractNumId w:val="3"/>
  </w:num>
  <w:num w:numId="3" w16cid:durableId="176504246">
    <w:abstractNumId w:val="9"/>
  </w:num>
  <w:num w:numId="4" w16cid:durableId="995038460">
    <w:abstractNumId w:val="10"/>
  </w:num>
  <w:num w:numId="5" w16cid:durableId="1986003882">
    <w:abstractNumId w:val="13"/>
  </w:num>
  <w:num w:numId="6" w16cid:durableId="1581910128">
    <w:abstractNumId w:val="15"/>
  </w:num>
  <w:num w:numId="7" w16cid:durableId="1567452437">
    <w:abstractNumId w:val="19"/>
  </w:num>
  <w:num w:numId="8" w16cid:durableId="1581022560">
    <w:abstractNumId w:val="7"/>
  </w:num>
  <w:num w:numId="9" w16cid:durableId="1251230941">
    <w:abstractNumId w:val="17"/>
  </w:num>
  <w:num w:numId="10" w16cid:durableId="2071489360">
    <w:abstractNumId w:val="16"/>
  </w:num>
  <w:num w:numId="11" w16cid:durableId="199899750">
    <w:abstractNumId w:val="6"/>
  </w:num>
  <w:num w:numId="12" w16cid:durableId="666522801">
    <w:abstractNumId w:val="5"/>
  </w:num>
  <w:num w:numId="13" w16cid:durableId="51393850">
    <w:abstractNumId w:val="11"/>
  </w:num>
  <w:num w:numId="14" w16cid:durableId="707487006">
    <w:abstractNumId w:val="2"/>
  </w:num>
  <w:num w:numId="15" w16cid:durableId="777943826">
    <w:abstractNumId w:val="18"/>
  </w:num>
  <w:num w:numId="16" w16cid:durableId="1694573900">
    <w:abstractNumId w:val="0"/>
  </w:num>
  <w:num w:numId="17" w16cid:durableId="1921022643">
    <w:abstractNumId w:val="1"/>
  </w:num>
  <w:num w:numId="18" w16cid:durableId="1674530161">
    <w:abstractNumId w:val="14"/>
  </w:num>
  <w:num w:numId="19" w16cid:durableId="342900585">
    <w:abstractNumId w:val="4"/>
  </w:num>
  <w:num w:numId="20" w16cid:durableId="806629717">
    <w:abstractNumId w:val="12"/>
  </w:num>
  <w:num w:numId="21" w16cid:durableId="1121806602">
    <w:abstractNumId w:val="8"/>
  </w:num>
  <w:num w:numId="22" w16cid:durableId="40520198">
    <w:abstractNumId w:val="1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F"/>
    <w:rsid w:val="000310DF"/>
    <w:rsid w:val="000416CE"/>
    <w:rsid w:val="000423E5"/>
    <w:rsid w:val="00050C7A"/>
    <w:rsid w:val="0007785D"/>
    <w:rsid w:val="000861DF"/>
    <w:rsid w:val="000A1AAE"/>
    <w:rsid w:val="000A5FFB"/>
    <w:rsid w:val="000C01B7"/>
    <w:rsid w:val="000C69DC"/>
    <w:rsid w:val="000E4A9B"/>
    <w:rsid w:val="0010162B"/>
    <w:rsid w:val="00120915"/>
    <w:rsid w:val="00130AA7"/>
    <w:rsid w:val="00132EC4"/>
    <w:rsid w:val="00172EA6"/>
    <w:rsid w:val="00176E7D"/>
    <w:rsid w:val="00196FAB"/>
    <w:rsid w:val="001A0C4A"/>
    <w:rsid w:val="001E1393"/>
    <w:rsid w:val="00201AA4"/>
    <w:rsid w:val="00210522"/>
    <w:rsid w:val="0022236C"/>
    <w:rsid w:val="00252FEC"/>
    <w:rsid w:val="00285CD2"/>
    <w:rsid w:val="002936F3"/>
    <w:rsid w:val="002B00E6"/>
    <w:rsid w:val="002F0734"/>
    <w:rsid w:val="003233AA"/>
    <w:rsid w:val="00327439"/>
    <w:rsid w:val="00330AC3"/>
    <w:rsid w:val="00341731"/>
    <w:rsid w:val="00344E22"/>
    <w:rsid w:val="00366A43"/>
    <w:rsid w:val="00370DAB"/>
    <w:rsid w:val="003A7447"/>
    <w:rsid w:val="003C1E7B"/>
    <w:rsid w:val="00410DEA"/>
    <w:rsid w:val="00461DD7"/>
    <w:rsid w:val="00476567"/>
    <w:rsid w:val="004841F9"/>
    <w:rsid w:val="0048631C"/>
    <w:rsid w:val="004A62F1"/>
    <w:rsid w:val="004D3737"/>
    <w:rsid w:val="005233BA"/>
    <w:rsid w:val="00527D2C"/>
    <w:rsid w:val="00552BFB"/>
    <w:rsid w:val="00554CA4"/>
    <w:rsid w:val="00563DBF"/>
    <w:rsid w:val="00566DA5"/>
    <w:rsid w:val="0057466A"/>
    <w:rsid w:val="00574F0E"/>
    <w:rsid w:val="00591DD6"/>
    <w:rsid w:val="00594681"/>
    <w:rsid w:val="005B465C"/>
    <w:rsid w:val="005E737F"/>
    <w:rsid w:val="0060228C"/>
    <w:rsid w:val="006035C7"/>
    <w:rsid w:val="00612B40"/>
    <w:rsid w:val="006572BC"/>
    <w:rsid w:val="006817F9"/>
    <w:rsid w:val="00684594"/>
    <w:rsid w:val="006A6D62"/>
    <w:rsid w:val="006B43A4"/>
    <w:rsid w:val="006C7DEB"/>
    <w:rsid w:val="006D48C4"/>
    <w:rsid w:val="006D74B2"/>
    <w:rsid w:val="00701550"/>
    <w:rsid w:val="00743198"/>
    <w:rsid w:val="007919FF"/>
    <w:rsid w:val="007936E6"/>
    <w:rsid w:val="007A2E75"/>
    <w:rsid w:val="007B6C3C"/>
    <w:rsid w:val="007C240B"/>
    <w:rsid w:val="007C5F5E"/>
    <w:rsid w:val="00804A54"/>
    <w:rsid w:val="00810F48"/>
    <w:rsid w:val="0081279F"/>
    <w:rsid w:val="008546FF"/>
    <w:rsid w:val="008577CA"/>
    <w:rsid w:val="00863397"/>
    <w:rsid w:val="00876450"/>
    <w:rsid w:val="00884999"/>
    <w:rsid w:val="008901FB"/>
    <w:rsid w:val="008A0951"/>
    <w:rsid w:val="008C0473"/>
    <w:rsid w:val="008C50D7"/>
    <w:rsid w:val="008D55F0"/>
    <w:rsid w:val="008F1872"/>
    <w:rsid w:val="008F62C0"/>
    <w:rsid w:val="00947B6A"/>
    <w:rsid w:val="009840E3"/>
    <w:rsid w:val="00987A40"/>
    <w:rsid w:val="00997B76"/>
    <w:rsid w:val="009B1F3D"/>
    <w:rsid w:val="009F5783"/>
    <w:rsid w:val="00A046AE"/>
    <w:rsid w:val="00A2604F"/>
    <w:rsid w:val="00A33323"/>
    <w:rsid w:val="00A40748"/>
    <w:rsid w:val="00AA0FB4"/>
    <w:rsid w:val="00AC2BDF"/>
    <w:rsid w:val="00AC63B5"/>
    <w:rsid w:val="00AD675F"/>
    <w:rsid w:val="00B06077"/>
    <w:rsid w:val="00B1234C"/>
    <w:rsid w:val="00B21C22"/>
    <w:rsid w:val="00B4205C"/>
    <w:rsid w:val="00B43406"/>
    <w:rsid w:val="00B91223"/>
    <w:rsid w:val="00BC6DE6"/>
    <w:rsid w:val="00C122EF"/>
    <w:rsid w:val="00C27062"/>
    <w:rsid w:val="00C71F56"/>
    <w:rsid w:val="00C7259F"/>
    <w:rsid w:val="00C8725B"/>
    <w:rsid w:val="00CB655C"/>
    <w:rsid w:val="00CC082D"/>
    <w:rsid w:val="00CD3FC8"/>
    <w:rsid w:val="00CF7885"/>
    <w:rsid w:val="00D0637A"/>
    <w:rsid w:val="00D14B22"/>
    <w:rsid w:val="00D31C54"/>
    <w:rsid w:val="00D547C3"/>
    <w:rsid w:val="00D64BF3"/>
    <w:rsid w:val="00DC252C"/>
    <w:rsid w:val="00DC5F6E"/>
    <w:rsid w:val="00DD4487"/>
    <w:rsid w:val="00DE6747"/>
    <w:rsid w:val="00E1518D"/>
    <w:rsid w:val="00E36619"/>
    <w:rsid w:val="00E70D18"/>
    <w:rsid w:val="00E77617"/>
    <w:rsid w:val="00E82DC2"/>
    <w:rsid w:val="00E979F4"/>
    <w:rsid w:val="00EA351D"/>
    <w:rsid w:val="00EC249B"/>
    <w:rsid w:val="00EE3662"/>
    <w:rsid w:val="00F012C4"/>
    <w:rsid w:val="00F56A40"/>
    <w:rsid w:val="00F6080D"/>
    <w:rsid w:val="00F64C25"/>
    <w:rsid w:val="00F81E81"/>
    <w:rsid w:val="00F83A3D"/>
    <w:rsid w:val="00F915EE"/>
    <w:rsid w:val="00F9716D"/>
    <w:rsid w:val="00FA4F44"/>
    <w:rsid w:val="00FB3ADD"/>
    <w:rsid w:val="00FB6C7D"/>
    <w:rsid w:val="00FF5E6D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1CE1"/>
  <w15:chartTrackingRefBased/>
  <w15:docId w15:val="{F1C2EB25-9126-4E4E-95CB-CA18EF2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4A54"/>
    <w:pPr>
      <w:numPr>
        <w:numId w:val="1"/>
      </w:numPr>
      <w:spacing w:after="2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04A54"/>
    <w:pPr>
      <w:spacing w:before="120"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2604F"/>
  </w:style>
  <w:style w:type="character" w:customStyle="1" w:styleId="Nagwek1Znak">
    <w:name w:val="Nagłówek 1 Znak"/>
    <w:basedOn w:val="Domylnaczcionkaakapitu"/>
    <w:link w:val="Nagwek1"/>
    <w:uiPriority w:val="9"/>
    <w:rsid w:val="00804A5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6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4A5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6E7D"/>
    <w:pPr>
      <w:keepNext/>
      <w:keepLines/>
      <w:numPr>
        <w:numId w:val="0"/>
      </w:numPr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76E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76E7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76E7D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176E7D"/>
    <w:pPr>
      <w:spacing w:after="100"/>
      <w:ind w:left="440"/>
    </w:pPr>
    <w:rPr>
      <w:rFonts w:eastAsiaTheme="minorEastAsia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7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0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706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C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62"/>
  </w:style>
  <w:style w:type="paragraph" w:styleId="Stopka">
    <w:name w:val="footer"/>
    <w:basedOn w:val="Normalny"/>
    <w:link w:val="StopkaZnak"/>
    <w:uiPriority w:val="99"/>
    <w:unhideWhenUsed/>
    <w:rsid w:val="00C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F46B-6CB0-46DF-9DC5-D367B00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15</Pages>
  <Words>4251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Pużuk</dc:creator>
  <cp:keywords/>
  <dc:description/>
  <cp:lastModifiedBy>Mirosław Kozłowski</cp:lastModifiedBy>
  <cp:revision>57</cp:revision>
  <dcterms:created xsi:type="dcterms:W3CDTF">2022-07-22T10:11:00Z</dcterms:created>
  <dcterms:modified xsi:type="dcterms:W3CDTF">2022-09-07T11:04:00Z</dcterms:modified>
</cp:coreProperties>
</file>